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C39" w:rsidRPr="00662844" w:rsidRDefault="001A5039" w:rsidP="008D5BF9">
      <w:pPr>
        <w:widowControl w:val="0"/>
        <w:pBdr>
          <w:top w:val="single" w:sz="4" w:space="1" w:color="auto"/>
          <w:left w:val="single" w:sz="4" w:space="4" w:color="auto"/>
          <w:bottom w:val="single" w:sz="4" w:space="1" w:color="auto"/>
          <w:right w:val="single" w:sz="4" w:space="4" w:color="auto"/>
        </w:pBdr>
        <w:overflowPunct/>
        <w:autoSpaceDE/>
        <w:autoSpaceDN/>
        <w:adjustRightInd/>
        <w:spacing w:before="1800"/>
        <w:contextualSpacing/>
        <w:jc w:val="center"/>
        <w:textAlignment w:val="auto"/>
        <w:rPr>
          <w:rFonts w:ascii="Calibri" w:eastAsia="Calibri" w:hAnsi="Calibri"/>
          <w:i/>
          <w:lang w:eastAsia="en-US"/>
        </w:rPr>
      </w:pPr>
      <w:r w:rsidRPr="00B97643">
        <w:rPr>
          <w:noProof/>
        </w:rPr>
        <w:drawing>
          <wp:anchor distT="0" distB="0" distL="114300" distR="114300" simplePos="0" relativeHeight="251659264" behindDoc="0" locked="0" layoutInCell="1" allowOverlap="1" wp14:anchorId="6FDFBEFA" wp14:editId="75AE627F">
            <wp:simplePos x="0" y="0"/>
            <wp:positionH relativeFrom="column">
              <wp:posOffset>-119784</wp:posOffset>
            </wp:positionH>
            <wp:positionV relativeFrom="paragraph">
              <wp:posOffset>-711719</wp:posOffset>
            </wp:positionV>
            <wp:extent cx="1654175" cy="708660"/>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 Mayenne - quadri v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175" cy="708660"/>
                    </a:xfrm>
                    <a:prstGeom prst="rect">
                      <a:avLst/>
                    </a:prstGeom>
                  </pic:spPr>
                </pic:pic>
              </a:graphicData>
            </a:graphic>
            <wp14:sizeRelH relativeFrom="page">
              <wp14:pctWidth>0</wp14:pctWidth>
            </wp14:sizeRelH>
            <wp14:sizeRelV relativeFrom="page">
              <wp14:pctHeight>0</wp14:pctHeight>
            </wp14:sizeRelV>
          </wp:anchor>
        </w:drawing>
      </w:r>
      <w:r w:rsidR="00C63C39" w:rsidRPr="00662844">
        <w:rPr>
          <w:rFonts w:ascii="Calibri" w:eastAsia="Arial" w:hAnsi="Calibri"/>
          <w:b/>
          <w:bCs/>
          <w:i/>
          <w:sz w:val="32"/>
          <w:szCs w:val="32"/>
          <w:lang w:eastAsia="en-US"/>
        </w:rPr>
        <w:t>Convention pour la constitution d’un groupement de commandes pour l’achat d’électricité</w:t>
      </w:r>
    </w:p>
    <w:p w:rsidR="00C63C39" w:rsidRPr="00610889" w:rsidRDefault="00C63C39" w:rsidP="00662844">
      <w:pPr>
        <w:widowControl w:val="0"/>
        <w:overflowPunct/>
        <w:autoSpaceDE/>
        <w:autoSpaceDN/>
        <w:adjustRightInd/>
        <w:spacing w:before="480"/>
        <w:jc w:val="both"/>
        <w:textAlignment w:val="auto"/>
        <w:rPr>
          <w:rFonts w:ascii="Calibri" w:eastAsia="Calibri" w:hAnsi="Calibri"/>
          <w:sz w:val="22"/>
          <w:lang w:eastAsia="en-US"/>
        </w:rPr>
      </w:pPr>
      <w:r w:rsidRPr="00610889">
        <w:rPr>
          <w:rFonts w:ascii="Calibri" w:eastAsia="Calibri" w:hAnsi="Calibri"/>
          <w:sz w:val="22"/>
          <w:lang w:eastAsia="en-US"/>
        </w:rPr>
        <w:t xml:space="preserve">En application de l’article </w:t>
      </w:r>
      <w:r w:rsidR="00B701D1">
        <w:rPr>
          <w:rFonts w:ascii="Calibri" w:eastAsia="Calibri" w:hAnsi="Calibri"/>
          <w:sz w:val="22"/>
          <w:lang w:eastAsia="en-US"/>
        </w:rPr>
        <w:t xml:space="preserve">28 </w:t>
      </w:r>
      <w:r w:rsidR="00B701D1" w:rsidRPr="00CA4B2B">
        <w:rPr>
          <w:rFonts w:ascii="Calibri" w:eastAsia="Calibri" w:hAnsi="Calibri"/>
          <w:sz w:val="22"/>
          <w:lang w:eastAsia="en-US"/>
        </w:rPr>
        <w:t>de l’Ordonnance n° 2015-899 du 23 juillet 2015 relative aux marchés publics</w:t>
      </w:r>
      <w:bookmarkStart w:id="0" w:name="_GoBack"/>
      <w:bookmarkEnd w:id="0"/>
      <w:r w:rsidRPr="00610889">
        <w:rPr>
          <w:rFonts w:ascii="Calibri" w:eastAsia="Calibri" w:hAnsi="Calibri"/>
          <w:sz w:val="22"/>
          <w:lang w:eastAsia="en-US"/>
        </w:rPr>
        <w:t xml:space="preserve">, </w:t>
      </w:r>
      <w:r w:rsidR="00C8729D">
        <w:rPr>
          <w:rFonts w:ascii="Calibri" w:eastAsia="Calibri" w:hAnsi="Calibri"/>
          <w:sz w:val="22"/>
          <w:lang w:eastAsia="en-US"/>
        </w:rPr>
        <w:t>i</w:t>
      </w:r>
      <w:r w:rsidR="00C8729D" w:rsidRPr="00610889">
        <w:rPr>
          <w:rFonts w:ascii="Calibri" w:eastAsia="Calibri" w:hAnsi="Calibri"/>
          <w:sz w:val="22"/>
          <w:lang w:eastAsia="en-US"/>
        </w:rPr>
        <w:t xml:space="preserve">l </w:t>
      </w:r>
      <w:r w:rsidRPr="00610889">
        <w:rPr>
          <w:rFonts w:ascii="Calibri" w:eastAsia="Calibri" w:hAnsi="Calibri"/>
          <w:sz w:val="22"/>
          <w:lang w:eastAsia="en-US"/>
        </w:rPr>
        <w:t xml:space="preserve">est constitué </w:t>
      </w:r>
      <w:r w:rsidRPr="00610889">
        <w:rPr>
          <w:rFonts w:ascii="Calibri" w:eastAsia="Calibri" w:hAnsi="Calibri"/>
          <w:b/>
          <w:sz w:val="22"/>
          <w:lang w:eastAsia="en-US"/>
        </w:rPr>
        <w:t>un groupement de commandes</w:t>
      </w:r>
      <w:r w:rsidRPr="00610889">
        <w:rPr>
          <w:rFonts w:ascii="Calibri" w:eastAsia="Calibri" w:hAnsi="Calibri"/>
          <w:sz w:val="22"/>
          <w:lang w:eastAsia="en-US"/>
        </w:rPr>
        <w:t xml:space="preserve"> entre différentes entités qui seront identifiées à l’issu de la phase de consultation des collectivités et des établissements exerçant des missions d’intérêt général. </w:t>
      </w:r>
    </w:p>
    <w:p w:rsidR="00C63C39" w:rsidRPr="00610889" w:rsidRDefault="00B02AA9" w:rsidP="00C63C39">
      <w:pPr>
        <w:widowControl w:val="0"/>
        <w:overflowPunct/>
        <w:autoSpaceDE/>
        <w:autoSpaceDN/>
        <w:adjustRightInd/>
        <w:contextualSpacing/>
        <w:jc w:val="both"/>
        <w:textAlignment w:val="auto"/>
        <w:rPr>
          <w:rFonts w:ascii="Calibri" w:eastAsia="Calibri" w:hAnsi="Calibri"/>
          <w:sz w:val="22"/>
          <w:lang w:eastAsia="en-US"/>
        </w:rPr>
      </w:pPr>
      <w:r>
        <w:rPr>
          <w:rFonts w:ascii="Calibri" w:eastAsia="Calibri" w:hAnsi="Calibri"/>
          <w:sz w:val="22"/>
          <w:lang w:eastAsia="en-US"/>
        </w:rPr>
        <w:pict>
          <v:rect id="_x0000_i1025" style="width:0;height:1.5pt" o:hralign="center" o:hrstd="t" o:hr="t" fillcolor="gray" stroked="f"/>
        </w:pict>
      </w:r>
    </w:p>
    <w:p w:rsidR="00C63C39" w:rsidRPr="00610889" w:rsidRDefault="00C63C39" w:rsidP="00662844">
      <w:pPr>
        <w:overflowPunct/>
        <w:autoSpaceDE/>
        <w:autoSpaceDN/>
        <w:adjustRightInd/>
        <w:spacing w:before="360"/>
        <w:textAlignment w:val="auto"/>
        <w:rPr>
          <w:rFonts w:ascii="Calibri" w:hAnsi="Calibri" w:cs="Calibri"/>
          <w:b/>
          <w:sz w:val="22"/>
        </w:rPr>
      </w:pPr>
      <w:r w:rsidRPr="00610889">
        <w:rPr>
          <w:rFonts w:ascii="Calibri" w:hAnsi="Calibri" w:cs="Calibri"/>
          <w:b/>
          <w:sz w:val="22"/>
        </w:rPr>
        <w:t>Exposé des motifs</w:t>
      </w:r>
    </w:p>
    <w:p w:rsidR="00C63C39" w:rsidRPr="00610889" w:rsidRDefault="00C63C39" w:rsidP="00662844">
      <w:pPr>
        <w:overflowPunct/>
        <w:autoSpaceDE/>
        <w:autoSpaceDN/>
        <w:adjustRightInd/>
        <w:spacing w:before="120"/>
        <w:jc w:val="both"/>
        <w:textAlignment w:val="auto"/>
        <w:rPr>
          <w:rFonts w:ascii="Calibri" w:hAnsi="Calibri" w:cs="Calibri"/>
          <w:sz w:val="22"/>
        </w:rPr>
      </w:pPr>
      <w:r w:rsidRPr="00610889">
        <w:rPr>
          <w:rFonts w:ascii="Calibri" w:hAnsi="Calibri" w:cs="Calibri"/>
          <w:sz w:val="22"/>
        </w:rPr>
        <w:t>L’ouverture à la concurrence se poursuit avec la disparition progressive des</w:t>
      </w:r>
      <w:r w:rsidRPr="00610889">
        <w:rPr>
          <w:rFonts w:ascii="Calibri" w:hAnsi="Calibri" w:cs="Calibri"/>
          <w:b/>
          <w:sz w:val="22"/>
        </w:rPr>
        <w:t xml:space="preserve"> </w:t>
      </w:r>
      <w:r w:rsidRPr="00610889">
        <w:rPr>
          <w:rFonts w:ascii="Calibri" w:hAnsi="Calibri" w:cs="Calibri"/>
          <w:sz w:val="22"/>
        </w:rPr>
        <w:t xml:space="preserve">tarifs </w:t>
      </w:r>
      <w:r w:rsidRPr="00610889">
        <w:rPr>
          <w:rFonts w:ascii="Calibri" w:eastAsia="Calibri" w:hAnsi="Calibri"/>
          <w:sz w:val="22"/>
          <w:lang w:eastAsia="en-US"/>
        </w:rPr>
        <w:t xml:space="preserve">réglementés de </w:t>
      </w:r>
      <w:proofErr w:type="gramStart"/>
      <w:r w:rsidRPr="00610889">
        <w:rPr>
          <w:rFonts w:ascii="Calibri" w:eastAsia="Calibri" w:hAnsi="Calibri"/>
          <w:sz w:val="22"/>
          <w:lang w:eastAsia="en-US"/>
        </w:rPr>
        <w:t>vente</w:t>
      </w:r>
      <w:proofErr w:type="gramEnd"/>
      <w:r w:rsidRPr="00610889">
        <w:rPr>
          <w:rFonts w:ascii="Calibri" w:eastAsia="Calibri" w:hAnsi="Calibri"/>
          <w:sz w:val="22"/>
          <w:lang w:eastAsia="en-US"/>
        </w:rPr>
        <w:t xml:space="preserve"> (TRV) d</w:t>
      </w:r>
      <w:r>
        <w:rPr>
          <w:rFonts w:ascii="Calibri" w:eastAsia="Calibri" w:hAnsi="Calibri"/>
          <w:sz w:val="22"/>
          <w:lang w:eastAsia="en-US"/>
        </w:rPr>
        <w:t>’électricité prév</w:t>
      </w:r>
      <w:r w:rsidRPr="00610889">
        <w:rPr>
          <w:rFonts w:ascii="Calibri" w:eastAsia="Calibri" w:hAnsi="Calibri"/>
          <w:sz w:val="22"/>
          <w:lang w:eastAsia="en-US"/>
        </w:rPr>
        <w:t xml:space="preserve">ue par la </w:t>
      </w:r>
      <w:r w:rsidRPr="00610889">
        <w:rPr>
          <w:rFonts w:ascii="Calibri" w:hAnsi="Calibri" w:cs="Calibri"/>
          <w:sz w:val="22"/>
        </w:rPr>
        <w:t>Loi.</w:t>
      </w:r>
    </w:p>
    <w:p w:rsidR="00C63C39" w:rsidRPr="00610889" w:rsidRDefault="00C63C39" w:rsidP="00C63C39">
      <w:pPr>
        <w:overflowPunct/>
        <w:autoSpaceDE/>
        <w:autoSpaceDN/>
        <w:adjustRightInd/>
        <w:textAlignment w:val="auto"/>
        <w:rPr>
          <w:rFonts w:ascii="Calibri" w:eastAsia="Calibri" w:hAnsi="Calibri"/>
          <w:sz w:val="22"/>
          <w:lang w:eastAsia="en-US"/>
        </w:rPr>
      </w:pPr>
      <w:r w:rsidRPr="00610889">
        <w:rPr>
          <w:rFonts w:ascii="Calibri" w:hAnsi="Calibri" w:cs="Calibri"/>
          <w:sz w:val="22"/>
        </w:rPr>
        <w:t>La suppression des TVR est programmée selon le calendrier suivant</w:t>
      </w:r>
      <w:r w:rsidR="00662844">
        <w:rPr>
          <w:rFonts w:ascii="Calibri" w:hAnsi="Calibri" w:cs="Calibri"/>
          <w:sz w:val="22"/>
        </w:rPr>
        <w:t xml:space="preserve"> </w:t>
      </w:r>
      <w:r w:rsidRPr="00610889">
        <w:rPr>
          <w:rFonts w:ascii="Calibri" w:eastAsia="Calibri" w:hAnsi="Calibri"/>
          <w:sz w:val="22"/>
          <w:lang w:eastAsia="en-US"/>
        </w:rPr>
        <w:t>:</w:t>
      </w:r>
    </w:p>
    <w:p w:rsidR="00C63C39" w:rsidRDefault="00C63C39" w:rsidP="00662844">
      <w:pPr>
        <w:widowControl w:val="0"/>
        <w:numPr>
          <w:ilvl w:val="0"/>
          <w:numId w:val="3"/>
        </w:numPr>
        <w:overflowPunct/>
        <w:autoSpaceDE/>
        <w:autoSpaceDN/>
        <w:adjustRightInd/>
        <w:spacing w:after="200" w:line="276" w:lineRule="auto"/>
        <w:contextualSpacing/>
        <w:textAlignment w:val="auto"/>
        <w:rPr>
          <w:rFonts w:ascii="Calibri" w:eastAsia="Calibri" w:hAnsi="Calibri"/>
          <w:sz w:val="22"/>
          <w:lang w:eastAsia="en-US"/>
        </w:rPr>
      </w:pPr>
      <w:proofErr w:type="gramStart"/>
      <w:r w:rsidRPr="002D721B">
        <w:rPr>
          <w:rFonts w:ascii="Calibri" w:eastAsia="Calibri" w:hAnsi="Calibri"/>
          <w:sz w:val="22"/>
          <w:lang w:eastAsia="en-US"/>
        </w:rPr>
        <w:t>pour</w:t>
      </w:r>
      <w:proofErr w:type="gramEnd"/>
      <w:r w:rsidRPr="002D721B">
        <w:rPr>
          <w:rFonts w:ascii="Calibri" w:eastAsia="Calibri" w:hAnsi="Calibri"/>
          <w:sz w:val="22"/>
          <w:lang w:eastAsia="en-US"/>
        </w:rPr>
        <w:t xml:space="preserve"> les consommateurs finals domestiques et non domestiques ayant </w:t>
      </w:r>
      <w:r>
        <w:rPr>
          <w:rFonts w:ascii="Calibri" w:eastAsia="Calibri" w:hAnsi="Calibri"/>
          <w:sz w:val="22"/>
          <w:lang w:eastAsia="en-US"/>
        </w:rPr>
        <w:t xml:space="preserve">des locaux raccordés avec </w:t>
      </w:r>
      <w:r w:rsidRPr="002D721B">
        <w:rPr>
          <w:rFonts w:ascii="Calibri" w:eastAsia="Calibri" w:hAnsi="Calibri"/>
          <w:sz w:val="22"/>
          <w:lang w:eastAsia="en-US"/>
        </w:rPr>
        <w:t xml:space="preserve">une puissance souscrite </w:t>
      </w:r>
      <w:r>
        <w:rPr>
          <w:rFonts w:ascii="Calibri" w:eastAsia="Calibri" w:hAnsi="Calibri"/>
          <w:sz w:val="22"/>
          <w:lang w:eastAsia="en-US"/>
        </w:rPr>
        <w:t xml:space="preserve">égale ou </w:t>
      </w:r>
      <w:r w:rsidRPr="002D721B">
        <w:rPr>
          <w:rFonts w:ascii="Calibri" w:eastAsia="Calibri" w:hAnsi="Calibri"/>
          <w:sz w:val="22"/>
          <w:lang w:eastAsia="en-US"/>
        </w:rPr>
        <w:t xml:space="preserve">supérieure à 36 kVa (tarifs </w:t>
      </w:r>
      <w:r>
        <w:rPr>
          <w:rFonts w:ascii="Calibri" w:eastAsia="Calibri" w:hAnsi="Calibri"/>
          <w:sz w:val="22"/>
          <w:lang w:eastAsia="en-US"/>
        </w:rPr>
        <w:t>« </w:t>
      </w:r>
      <w:r w:rsidRPr="002D721B">
        <w:rPr>
          <w:rFonts w:ascii="Calibri" w:eastAsia="Calibri" w:hAnsi="Calibri"/>
          <w:sz w:val="22"/>
          <w:lang w:eastAsia="en-US"/>
        </w:rPr>
        <w:t>jaune</w:t>
      </w:r>
      <w:r>
        <w:rPr>
          <w:rFonts w:ascii="Calibri" w:eastAsia="Calibri" w:hAnsi="Calibri"/>
          <w:sz w:val="22"/>
          <w:lang w:eastAsia="en-US"/>
        </w:rPr>
        <w:t> »</w:t>
      </w:r>
      <w:r w:rsidRPr="002D721B">
        <w:rPr>
          <w:rFonts w:ascii="Calibri" w:eastAsia="Calibri" w:hAnsi="Calibri"/>
          <w:sz w:val="22"/>
          <w:lang w:eastAsia="en-US"/>
        </w:rPr>
        <w:t xml:space="preserve"> et tarifs</w:t>
      </w:r>
      <w:r>
        <w:rPr>
          <w:rFonts w:ascii="Calibri" w:eastAsia="Calibri" w:hAnsi="Calibri"/>
          <w:sz w:val="22"/>
          <w:lang w:eastAsia="en-US"/>
        </w:rPr>
        <w:t> </w:t>
      </w:r>
      <w:r w:rsidRPr="002D721B">
        <w:rPr>
          <w:rFonts w:ascii="Calibri" w:eastAsia="Calibri" w:hAnsi="Calibri"/>
          <w:sz w:val="22"/>
          <w:lang w:eastAsia="en-US"/>
        </w:rPr>
        <w:t xml:space="preserve"> </w:t>
      </w:r>
      <w:r>
        <w:rPr>
          <w:rFonts w:ascii="Calibri" w:eastAsia="Calibri" w:hAnsi="Calibri"/>
          <w:sz w:val="22"/>
          <w:lang w:eastAsia="en-US"/>
        </w:rPr>
        <w:t>« </w:t>
      </w:r>
      <w:r w:rsidRPr="002D721B">
        <w:rPr>
          <w:rFonts w:ascii="Calibri" w:eastAsia="Calibri" w:hAnsi="Calibri"/>
          <w:sz w:val="22"/>
          <w:lang w:eastAsia="en-US"/>
        </w:rPr>
        <w:t>vert</w:t>
      </w:r>
      <w:r>
        <w:rPr>
          <w:rFonts w:ascii="Calibri" w:eastAsia="Calibri" w:hAnsi="Calibri"/>
          <w:sz w:val="22"/>
          <w:lang w:eastAsia="en-US"/>
        </w:rPr>
        <w:t> »</w:t>
      </w:r>
      <w:r w:rsidRPr="002D721B">
        <w:rPr>
          <w:rFonts w:ascii="Calibri" w:eastAsia="Calibri" w:hAnsi="Calibri"/>
          <w:sz w:val="22"/>
          <w:lang w:eastAsia="en-US"/>
        </w:rPr>
        <w:t xml:space="preserve">) le 31 décembre 2015 </w:t>
      </w:r>
    </w:p>
    <w:p w:rsidR="00C63C39" w:rsidRPr="00610889" w:rsidRDefault="00C63C39" w:rsidP="00C63C39">
      <w:pPr>
        <w:widowControl w:val="0"/>
        <w:overflowPunct/>
        <w:autoSpaceDE/>
        <w:autoSpaceDN/>
        <w:adjustRightInd/>
        <w:contextualSpacing/>
        <w:jc w:val="both"/>
        <w:textAlignment w:val="auto"/>
        <w:rPr>
          <w:rFonts w:ascii="Calibri" w:eastAsia="Calibri" w:hAnsi="Calibri"/>
          <w:sz w:val="22"/>
          <w:lang w:eastAsia="en-US"/>
        </w:rPr>
      </w:pPr>
      <w:r w:rsidRPr="00610889">
        <w:rPr>
          <w:rFonts w:ascii="Calibri" w:eastAsia="Calibri" w:hAnsi="Calibri"/>
          <w:sz w:val="22"/>
          <w:lang w:eastAsia="en-US"/>
        </w:rPr>
        <w:t xml:space="preserve">Ainsi, au </w:t>
      </w:r>
      <w:r w:rsidRPr="00662844">
        <w:rPr>
          <w:rFonts w:ascii="Calibri" w:eastAsia="Calibri" w:hAnsi="Calibri"/>
          <w:bCs/>
          <w:sz w:val="22"/>
          <w:lang w:eastAsia="en-US"/>
        </w:rPr>
        <w:t>1</w:t>
      </w:r>
      <w:r w:rsidRPr="00662844">
        <w:rPr>
          <w:rFonts w:ascii="Calibri" w:eastAsia="Calibri" w:hAnsi="Calibri"/>
          <w:bCs/>
          <w:sz w:val="22"/>
          <w:vertAlign w:val="superscript"/>
          <w:lang w:eastAsia="en-US"/>
        </w:rPr>
        <w:t>er</w:t>
      </w:r>
      <w:r w:rsidRPr="00610889">
        <w:rPr>
          <w:rFonts w:ascii="Calibri" w:eastAsia="Calibri" w:hAnsi="Calibri"/>
          <w:sz w:val="22"/>
          <w:lang w:eastAsia="en-US"/>
        </w:rPr>
        <w:t xml:space="preserve"> janvier 2016, les acheteurs </w:t>
      </w:r>
      <w:r w:rsidRPr="00610889">
        <w:rPr>
          <w:rFonts w:ascii="Calibri" w:eastAsia="Calibri" w:hAnsi="Calibri"/>
          <w:bCs/>
          <w:sz w:val="22"/>
          <w:lang w:eastAsia="en-US"/>
        </w:rPr>
        <w:t>soumis au code des marchés publics ou à une procédure obligatoire de mise en concurrence</w:t>
      </w:r>
      <w:r w:rsidRPr="00610889">
        <w:rPr>
          <w:rFonts w:ascii="Calibri" w:eastAsia="Calibri" w:hAnsi="Calibri"/>
          <w:sz w:val="22"/>
          <w:lang w:eastAsia="en-US"/>
        </w:rPr>
        <w:t xml:space="preserve">, </w:t>
      </w:r>
      <w:r w:rsidRPr="00610889">
        <w:rPr>
          <w:rFonts w:ascii="Calibri" w:eastAsia="Calibri" w:hAnsi="Calibri" w:cs="HelveticaNeueLT Std"/>
          <w:color w:val="000000"/>
          <w:sz w:val="22"/>
          <w:lang w:eastAsia="en-US"/>
        </w:rPr>
        <w:t xml:space="preserve">notamment les collectivités territoriales et les établissements publics, </w:t>
      </w:r>
      <w:r w:rsidRPr="00610889">
        <w:rPr>
          <w:rFonts w:ascii="Calibri" w:eastAsia="Calibri" w:hAnsi="Calibri"/>
          <w:sz w:val="22"/>
          <w:lang w:eastAsia="en-US"/>
        </w:rPr>
        <w:t>devront avoir signé un nouveau contrat en offre de marché avec un fournisseur de leur choix. A défaut, ils s’exposent à subir une interruption de service puisque leur contrat au tarif réglementé aura disparu et qu’ils n’auront dès lors plus de contrat de fourniture d</w:t>
      </w:r>
      <w:r>
        <w:rPr>
          <w:rFonts w:ascii="Calibri" w:eastAsia="Calibri" w:hAnsi="Calibri"/>
          <w:sz w:val="22"/>
          <w:lang w:eastAsia="en-US"/>
        </w:rPr>
        <w:t>’électricité</w:t>
      </w:r>
      <w:r w:rsidRPr="00610889">
        <w:rPr>
          <w:rFonts w:ascii="Calibri" w:eastAsia="Calibri" w:hAnsi="Calibri"/>
          <w:sz w:val="22"/>
          <w:lang w:eastAsia="en-US"/>
        </w:rPr>
        <w:t>.</w:t>
      </w:r>
    </w:p>
    <w:p w:rsidR="00C63C39" w:rsidRPr="00610889" w:rsidRDefault="00C63C39" w:rsidP="00C63C39">
      <w:pPr>
        <w:overflowPunct/>
        <w:spacing w:after="140" w:line="201" w:lineRule="atLeast"/>
        <w:jc w:val="both"/>
        <w:textAlignment w:val="auto"/>
        <w:rPr>
          <w:rFonts w:ascii="Calibri" w:eastAsia="Calibri" w:hAnsi="Calibri" w:cs="HelveticaNeueLT Std"/>
          <w:color w:val="000000"/>
          <w:sz w:val="22"/>
          <w:lang w:eastAsia="en-US"/>
        </w:rPr>
      </w:pPr>
      <w:r w:rsidRPr="00610889">
        <w:rPr>
          <w:rFonts w:ascii="Calibri" w:eastAsia="Calibri" w:hAnsi="Calibri" w:cs="HelveticaNeueLT Std"/>
          <w:color w:val="000000"/>
          <w:sz w:val="22"/>
          <w:lang w:eastAsia="en-US"/>
        </w:rPr>
        <w:t>Dans ce cadre, le regroupement de ces pouvoirs adjudicateurs et entités adjudicatrices, acheteuses d</w:t>
      </w:r>
      <w:r>
        <w:rPr>
          <w:rFonts w:ascii="Calibri" w:eastAsia="Calibri" w:hAnsi="Calibri" w:cs="HelveticaNeueLT Std"/>
          <w:color w:val="000000"/>
          <w:sz w:val="22"/>
          <w:lang w:eastAsia="en-US"/>
        </w:rPr>
        <w:t>’électricité</w:t>
      </w:r>
      <w:r w:rsidRPr="00610889">
        <w:rPr>
          <w:rFonts w:ascii="Calibri" w:eastAsia="Calibri" w:hAnsi="Calibri" w:cs="HelveticaNeueLT Std"/>
          <w:color w:val="000000"/>
          <w:sz w:val="22"/>
          <w:lang w:eastAsia="en-US"/>
        </w:rPr>
        <w:t>, est un outil qui, non seulement, leur permet d’effectuer plus efficacement les opérations de mise en concurrence mais, également, assure une maîtrise de leur consommation d’énergie et renforce la protection de l’environnement dans le respect du développement durable.</w:t>
      </w:r>
    </w:p>
    <w:p w:rsidR="00C63C39" w:rsidRPr="00610889" w:rsidRDefault="00C63C39" w:rsidP="00C63C39">
      <w:pPr>
        <w:widowControl w:val="0"/>
        <w:overflowPunct/>
        <w:autoSpaceDE/>
        <w:autoSpaceDN/>
        <w:adjustRightInd/>
        <w:contextualSpacing/>
        <w:jc w:val="both"/>
        <w:textAlignment w:val="auto"/>
        <w:rPr>
          <w:rFonts w:ascii="Calibri" w:eastAsia="Calibri" w:hAnsi="Calibri"/>
          <w:sz w:val="22"/>
          <w:lang w:eastAsia="en-US"/>
        </w:rPr>
      </w:pPr>
      <w:r w:rsidRPr="00610889">
        <w:rPr>
          <w:rFonts w:ascii="Calibri" w:eastAsia="Calibri" w:hAnsi="Calibri"/>
          <w:sz w:val="22"/>
          <w:lang w:eastAsia="en-US"/>
        </w:rPr>
        <w:t xml:space="preserve">Dans ce contexte, </w:t>
      </w:r>
      <w:r w:rsidR="001A5039" w:rsidRPr="001A5039">
        <w:rPr>
          <w:rFonts w:ascii="Calibri" w:eastAsia="Calibri" w:hAnsi="Calibri"/>
          <w:b/>
          <w:sz w:val="22"/>
          <w:lang w:eastAsia="en-US"/>
        </w:rPr>
        <w:t>Territoire d’énergie Mayenne</w:t>
      </w:r>
      <w:r w:rsidRPr="00610889">
        <w:rPr>
          <w:rFonts w:ascii="Calibri" w:eastAsia="Calibri" w:hAnsi="Calibri"/>
          <w:color w:val="000000"/>
          <w:sz w:val="22"/>
          <w:lang w:val="en-US" w:eastAsia="en-US"/>
        </w:rPr>
        <w:t xml:space="preserve"> (</w:t>
      </w:r>
      <w:r w:rsidR="001A5039">
        <w:rPr>
          <w:rFonts w:ascii="Calibri" w:eastAsia="Calibri" w:hAnsi="Calibri"/>
          <w:color w:val="000000"/>
          <w:sz w:val="22"/>
          <w:lang w:val="en-US" w:eastAsia="en-US"/>
        </w:rPr>
        <w:t xml:space="preserve">ex </w:t>
      </w:r>
      <w:r w:rsidRPr="00610889">
        <w:rPr>
          <w:rFonts w:ascii="Calibri" w:eastAsia="Calibri" w:hAnsi="Calibri"/>
          <w:color w:val="000000"/>
          <w:sz w:val="22"/>
          <w:lang w:val="en-US" w:eastAsia="en-US"/>
        </w:rPr>
        <w:t xml:space="preserve">SDEGM) </w:t>
      </w:r>
      <w:r w:rsidRPr="00610889">
        <w:rPr>
          <w:rFonts w:ascii="Calibri" w:eastAsia="Calibri" w:hAnsi="Calibri"/>
          <w:sz w:val="22"/>
          <w:lang w:eastAsia="en-US"/>
        </w:rPr>
        <w:t>a constitué un groupement de commandes d’achat d</w:t>
      </w:r>
      <w:r>
        <w:rPr>
          <w:rFonts w:ascii="Calibri" w:eastAsia="Calibri" w:hAnsi="Calibri"/>
          <w:sz w:val="22"/>
          <w:lang w:eastAsia="en-US"/>
        </w:rPr>
        <w:t xml:space="preserve">’électricité </w:t>
      </w:r>
      <w:r w:rsidRPr="00610889">
        <w:rPr>
          <w:rFonts w:ascii="Calibri" w:eastAsia="Calibri" w:hAnsi="Calibri"/>
          <w:sz w:val="22"/>
          <w:lang w:eastAsia="en-US"/>
        </w:rPr>
        <w:t xml:space="preserve">et services associés afin de permettre aux acheteurs </w:t>
      </w:r>
      <w:r w:rsidRPr="00610889">
        <w:rPr>
          <w:rFonts w:ascii="Calibri" w:eastAsia="Calibri" w:hAnsi="Calibri"/>
          <w:bCs/>
          <w:sz w:val="22"/>
          <w:lang w:eastAsia="en-US"/>
        </w:rPr>
        <w:t xml:space="preserve">soumis aux dispositions précitées de se mettre en conformité avec la loi, tout en optimisant la procédure de mise en concurrence. </w:t>
      </w:r>
    </w:p>
    <w:p w:rsidR="00C63C39" w:rsidRPr="00610889" w:rsidRDefault="00C63C39" w:rsidP="00662844">
      <w:pPr>
        <w:widowControl w:val="0"/>
        <w:overflowPunct/>
        <w:autoSpaceDE/>
        <w:autoSpaceDN/>
        <w:adjustRightInd/>
        <w:spacing w:before="120"/>
        <w:jc w:val="both"/>
        <w:textAlignment w:val="auto"/>
        <w:rPr>
          <w:rFonts w:ascii="Calibri" w:eastAsia="Calibri" w:hAnsi="Calibri"/>
          <w:sz w:val="22"/>
          <w:lang w:eastAsia="en-US"/>
        </w:rPr>
      </w:pPr>
      <w:r w:rsidRPr="00610889">
        <w:rPr>
          <w:rFonts w:ascii="Calibri" w:eastAsia="Calibri" w:hAnsi="Calibri"/>
          <w:sz w:val="22"/>
          <w:lang w:eastAsia="en-US"/>
        </w:rPr>
        <w:t>Le siège du coordonnateur est situé Rue Louis de Broglie – bâtiment R – 53810 CHANGE</w:t>
      </w:r>
    </w:p>
    <w:p w:rsidR="00C63C39" w:rsidRPr="00610889" w:rsidRDefault="00C63C39" w:rsidP="00662844">
      <w:pPr>
        <w:widowControl w:val="0"/>
        <w:overflowPunct/>
        <w:autoSpaceDE/>
        <w:autoSpaceDN/>
        <w:adjustRightInd/>
        <w:spacing w:before="120"/>
        <w:jc w:val="both"/>
        <w:textAlignment w:val="auto"/>
        <w:rPr>
          <w:rFonts w:ascii="Calibri" w:eastAsia="Calibri" w:hAnsi="Calibri"/>
          <w:sz w:val="22"/>
          <w:lang w:eastAsia="en-US"/>
        </w:rPr>
      </w:pPr>
      <w:r w:rsidRPr="00610889">
        <w:rPr>
          <w:rFonts w:ascii="Calibri" w:eastAsia="Calibri" w:hAnsi="Calibri"/>
          <w:sz w:val="22"/>
          <w:lang w:eastAsia="en-US"/>
        </w:rPr>
        <w:t>Suite de quoi il est arrêté :</w:t>
      </w:r>
    </w:p>
    <w:p w:rsidR="00C63C39" w:rsidRPr="00610889" w:rsidRDefault="00C63C39" w:rsidP="00662844">
      <w:pPr>
        <w:widowControl w:val="0"/>
        <w:overflowPunct/>
        <w:autoSpaceDE/>
        <w:autoSpaceDN/>
        <w:adjustRightInd/>
        <w:spacing w:before="240" w:after="120"/>
        <w:textAlignment w:val="auto"/>
        <w:rPr>
          <w:rFonts w:ascii="Calibri" w:eastAsia="Arial" w:hAnsi="Calibri"/>
          <w:sz w:val="22"/>
          <w:lang w:eastAsia="en-US"/>
        </w:rPr>
      </w:pPr>
      <w:r w:rsidRPr="00610889">
        <w:rPr>
          <w:rFonts w:ascii="Calibri" w:eastAsia="Arial" w:hAnsi="Calibri"/>
          <w:b/>
          <w:bCs/>
          <w:sz w:val="22"/>
          <w:lang w:eastAsia="en-US"/>
        </w:rPr>
        <w:t>Article 1</w:t>
      </w:r>
      <w:r w:rsidRPr="00610889">
        <w:rPr>
          <w:rFonts w:ascii="Calibri" w:eastAsia="Arial" w:hAnsi="Calibri"/>
          <w:b/>
          <w:bCs/>
          <w:sz w:val="22"/>
          <w:vertAlign w:val="superscript"/>
          <w:lang w:eastAsia="en-US"/>
        </w:rPr>
        <w:t>er</w:t>
      </w:r>
      <w:r w:rsidRPr="00610889">
        <w:rPr>
          <w:rFonts w:ascii="Calibri" w:eastAsia="Arial" w:hAnsi="Calibri"/>
          <w:b/>
          <w:bCs/>
          <w:sz w:val="22"/>
          <w:lang w:eastAsia="en-US"/>
        </w:rPr>
        <w:t>. - Objet</w:t>
      </w:r>
    </w:p>
    <w:p w:rsidR="00662844" w:rsidRDefault="00C63C39" w:rsidP="00C63C39">
      <w:pPr>
        <w:widowControl w:val="0"/>
        <w:overflowPunct/>
        <w:autoSpaceDE/>
        <w:autoSpaceDN/>
        <w:adjustRightInd/>
        <w:contextualSpacing/>
        <w:jc w:val="both"/>
        <w:textAlignment w:val="auto"/>
        <w:rPr>
          <w:rFonts w:ascii="Calibri" w:eastAsia="Arial" w:hAnsi="Calibri"/>
          <w:sz w:val="22"/>
          <w:lang w:eastAsia="en-US"/>
        </w:rPr>
      </w:pPr>
      <w:r w:rsidRPr="00610889">
        <w:rPr>
          <w:rFonts w:ascii="Calibri" w:eastAsia="Arial" w:hAnsi="Calibri"/>
          <w:sz w:val="22"/>
          <w:lang w:eastAsia="en-US"/>
        </w:rPr>
        <w:t>Le groupement de commandes constitué sur le fondement</w:t>
      </w:r>
      <w:r w:rsidR="00B701D1" w:rsidRPr="00B701D1">
        <w:rPr>
          <w:rFonts w:ascii="Calibri" w:eastAsia="Arial" w:hAnsi="Calibri"/>
          <w:sz w:val="22"/>
          <w:lang w:eastAsia="en-US"/>
        </w:rPr>
        <w:t xml:space="preserve"> </w:t>
      </w:r>
      <w:r w:rsidR="00B701D1" w:rsidRPr="00610889">
        <w:rPr>
          <w:rFonts w:ascii="Calibri" w:eastAsia="Arial" w:hAnsi="Calibri"/>
          <w:sz w:val="22"/>
          <w:lang w:eastAsia="en-US"/>
        </w:rPr>
        <w:t xml:space="preserve">de </w:t>
      </w:r>
      <w:r w:rsidR="00B701D1" w:rsidRPr="001E05E4">
        <w:rPr>
          <w:rFonts w:ascii="Calibri" w:eastAsia="Arial" w:hAnsi="Calibri"/>
          <w:sz w:val="22"/>
          <w:lang w:eastAsia="en-US"/>
        </w:rPr>
        <w:t>l’article 28 de l’Ordonnance n° 2015-899 du 23 juillet 2015 relative aux marchés publics</w:t>
      </w:r>
      <w:r w:rsidRPr="00610889">
        <w:rPr>
          <w:rFonts w:ascii="Calibri" w:eastAsia="Arial" w:hAnsi="Calibri"/>
          <w:sz w:val="22"/>
          <w:lang w:eastAsia="en-US"/>
        </w:rPr>
        <w:t>, ci-après désigné "le groupement", a pour objet la passation, la signature et la notification des marchés de fourniture et d'acheminement d</w:t>
      </w:r>
      <w:r>
        <w:rPr>
          <w:rFonts w:ascii="Calibri" w:eastAsia="Arial" w:hAnsi="Calibri"/>
          <w:sz w:val="22"/>
          <w:lang w:eastAsia="en-US"/>
        </w:rPr>
        <w:t xml:space="preserve">’électricité </w:t>
      </w:r>
      <w:r w:rsidRPr="00610889">
        <w:rPr>
          <w:rFonts w:ascii="Calibri" w:eastAsia="Arial" w:hAnsi="Calibri"/>
          <w:sz w:val="22"/>
          <w:lang w:eastAsia="en-US"/>
        </w:rPr>
        <w:t xml:space="preserve">et des services associés pour les besoins propres de ses membres. </w:t>
      </w:r>
    </w:p>
    <w:p w:rsidR="00662844" w:rsidRDefault="00662844">
      <w:pPr>
        <w:overflowPunct/>
        <w:autoSpaceDE/>
        <w:autoSpaceDN/>
        <w:adjustRightInd/>
        <w:spacing w:after="200" w:line="276" w:lineRule="auto"/>
        <w:textAlignment w:val="auto"/>
        <w:rPr>
          <w:rFonts w:ascii="Calibri" w:eastAsia="Arial" w:hAnsi="Calibri"/>
          <w:sz w:val="22"/>
          <w:lang w:eastAsia="en-US"/>
        </w:rPr>
      </w:pPr>
      <w:r>
        <w:rPr>
          <w:rFonts w:ascii="Calibri" w:eastAsia="Arial" w:hAnsi="Calibri"/>
          <w:sz w:val="22"/>
          <w:lang w:eastAsia="en-US"/>
        </w:rPr>
        <w:br w:type="page"/>
      </w:r>
    </w:p>
    <w:p w:rsidR="00C63C39" w:rsidRPr="00610889" w:rsidRDefault="00C63C39" w:rsidP="00662844">
      <w:pPr>
        <w:widowControl w:val="0"/>
        <w:overflowPunct/>
        <w:autoSpaceDE/>
        <w:autoSpaceDN/>
        <w:adjustRightInd/>
        <w:spacing w:before="240" w:after="120"/>
        <w:textAlignment w:val="auto"/>
        <w:rPr>
          <w:rFonts w:ascii="Calibri" w:eastAsia="Arial" w:hAnsi="Calibri"/>
          <w:sz w:val="22"/>
          <w:lang w:eastAsia="en-US"/>
        </w:rPr>
      </w:pPr>
      <w:r w:rsidRPr="00610889">
        <w:rPr>
          <w:rFonts w:ascii="Calibri" w:eastAsia="Arial" w:hAnsi="Calibri"/>
          <w:b/>
          <w:bCs/>
          <w:sz w:val="22"/>
          <w:lang w:eastAsia="en-US"/>
        </w:rPr>
        <w:lastRenderedPageBreak/>
        <w:t>Article 2. - Composition du groupement</w:t>
      </w:r>
    </w:p>
    <w:p w:rsidR="00B701D1" w:rsidRPr="00610889" w:rsidRDefault="00B701D1" w:rsidP="00C63C39">
      <w:pPr>
        <w:widowControl w:val="0"/>
        <w:overflowPunct/>
        <w:autoSpaceDE/>
        <w:autoSpaceDN/>
        <w:adjustRightInd/>
        <w:contextualSpacing/>
        <w:jc w:val="both"/>
        <w:textAlignment w:val="auto"/>
        <w:rPr>
          <w:rFonts w:ascii="Calibri" w:eastAsia="Arial" w:hAnsi="Calibri"/>
          <w:sz w:val="22"/>
          <w:lang w:eastAsia="en-US"/>
        </w:rPr>
      </w:pPr>
      <w:r w:rsidRPr="001E05E4">
        <w:rPr>
          <w:rFonts w:ascii="Calibri" w:eastAsia="Arial" w:hAnsi="Calibri"/>
          <w:sz w:val="22"/>
          <w:lang w:eastAsia="en-US"/>
        </w:rPr>
        <w:t>Le groupement est constitué d’un ou plusieurs acheteurs publics, ainsi que d’une ou plusieurs personnes morales de droit privé qui ne sont pas des acheteurs soumis aux règles de la commande publique, à condition que chacun des membres du groupement applique, pour les achats réalisés dans le cadre du groupement, les règles fixées par le droit des marchés p</w:t>
      </w:r>
      <w:r>
        <w:rPr>
          <w:rFonts w:ascii="Calibri" w:eastAsia="Arial" w:hAnsi="Calibri"/>
          <w:sz w:val="22"/>
          <w:lang w:eastAsia="en-US"/>
        </w:rPr>
        <w:t xml:space="preserve">ublics, et ceci conformément à </w:t>
      </w:r>
      <w:r w:rsidRPr="001E05E4">
        <w:rPr>
          <w:rFonts w:ascii="Calibri" w:eastAsia="Arial" w:hAnsi="Calibri"/>
          <w:sz w:val="22"/>
          <w:lang w:eastAsia="en-US"/>
        </w:rPr>
        <w:t>l’article 28 de l’Ordonnance n° 2015-899 du 23 juillet 2015 relative aux marchés publics.</w:t>
      </w:r>
    </w:p>
    <w:p w:rsidR="00C63C39" w:rsidRPr="00610889" w:rsidRDefault="00C63C39" w:rsidP="00662844">
      <w:pPr>
        <w:widowControl w:val="0"/>
        <w:overflowPunct/>
        <w:autoSpaceDE/>
        <w:autoSpaceDN/>
        <w:adjustRightInd/>
        <w:spacing w:before="120"/>
        <w:jc w:val="both"/>
        <w:textAlignment w:val="auto"/>
        <w:rPr>
          <w:rFonts w:ascii="Calibri" w:eastAsia="Arial" w:hAnsi="Calibri"/>
          <w:sz w:val="22"/>
          <w:lang w:eastAsia="en-US"/>
        </w:rPr>
      </w:pPr>
      <w:r w:rsidRPr="00610889">
        <w:rPr>
          <w:rFonts w:ascii="Calibri" w:eastAsia="Arial" w:hAnsi="Calibri"/>
          <w:sz w:val="22"/>
          <w:lang w:eastAsia="en-US"/>
        </w:rPr>
        <w:t xml:space="preserve">La liste des membres du groupement sera arrêtée </w:t>
      </w:r>
      <w:r w:rsidRPr="00E44F98">
        <w:rPr>
          <w:rFonts w:ascii="Calibri" w:eastAsia="Arial" w:hAnsi="Calibri"/>
          <w:sz w:val="22"/>
          <w:lang w:eastAsia="en-US"/>
        </w:rPr>
        <w:t>au</w:t>
      </w:r>
      <w:r w:rsidRPr="00912F7F">
        <w:rPr>
          <w:rFonts w:ascii="Calibri" w:eastAsia="Arial" w:hAnsi="Calibri"/>
          <w:color w:val="FF0000"/>
          <w:sz w:val="22"/>
          <w:lang w:eastAsia="en-US"/>
        </w:rPr>
        <w:t xml:space="preserve"> </w:t>
      </w:r>
      <w:r w:rsidR="00CA6DC9" w:rsidRPr="00CA6DC9">
        <w:rPr>
          <w:rFonts w:ascii="Calibri" w:eastAsia="Arial" w:hAnsi="Calibri"/>
          <w:sz w:val="22"/>
          <w:lang w:eastAsia="en-US"/>
        </w:rPr>
        <w:t>terme de la consultation</w:t>
      </w:r>
      <w:r w:rsidRPr="00422350">
        <w:rPr>
          <w:rFonts w:ascii="Calibri" w:eastAsia="Arial" w:hAnsi="Calibri"/>
          <w:b/>
          <w:sz w:val="22"/>
          <w:lang w:eastAsia="en-US"/>
        </w:rPr>
        <w:t xml:space="preserve"> </w:t>
      </w:r>
      <w:r w:rsidRPr="00610889">
        <w:rPr>
          <w:rFonts w:ascii="Calibri" w:eastAsia="Arial" w:hAnsi="Calibri"/>
          <w:sz w:val="22"/>
          <w:lang w:eastAsia="en-US"/>
        </w:rPr>
        <w:t>(date à laquelle les délibérations et la fiche de collecte des données des collectivités intéressées devront avoir été notifiées au coordonnateur du groupement).</w:t>
      </w:r>
    </w:p>
    <w:p w:rsidR="00C63C39" w:rsidRPr="00610889" w:rsidRDefault="00C63C39" w:rsidP="00662844">
      <w:pPr>
        <w:widowControl w:val="0"/>
        <w:overflowPunct/>
        <w:autoSpaceDE/>
        <w:autoSpaceDN/>
        <w:adjustRightInd/>
        <w:spacing w:before="240" w:after="120"/>
        <w:textAlignment w:val="auto"/>
        <w:rPr>
          <w:rFonts w:ascii="Calibri" w:eastAsia="Calibri" w:hAnsi="Calibri"/>
          <w:b/>
          <w:sz w:val="22"/>
          <w:lang w:eastAsia="en-US"/>
        </w:rPr>
      </w:pPr>
      <w:r w:rsidRPr="00610889">
        <w:rPr>
          <w:rFonts w:ascii="Calibri" w:eastAsia="Calibri" w:hAnsi="Calibri"/>
          <w:b/>
          <w:sz w:val="22"/>
          <w:lang w:eastAsia="en-US"/>
        </w:rPr>
        <w:t>Article 3. - Conditions d’adhésion et de sortie du groupement</w:t>
      </w:r>
    </w:p>
    <w:p w:rsidR="00C63C39" w:rsidRPr="00610889" w:rsidRDefault="00C63C39" w:rsidP="00C63C39">
      <w:pPr>
        <w:widowControl w:val="0"/>
        <w:overflowPunct/>
        <w:autoSpaceDE/>
        <w:autoSpaceDN/>
        <w:adjustRightInd/>
        <w:contextualSpacing/>
        <w:jc w:val="both"/>
        <w:textAlignment w:val="auto"/>
        <w:rPr>
          <w:rFonts w:ascii="Calibri" w:eastAsia="Calibri" w:hAnsi="Calibri"/>
          <w:sz w:val="22"/>
          <w:u w:val="single"/>
          <w:lang w:eastAsia="en-US"/>
        </w:rPr>
      </w:pPr>
      <w:r w:rsidRPr="00610889">
        <w:rPr>
          <w:rFonts w:ascii="Calibri" w:eastAsia="Calibri" w:hAnsi="Calibri"/>
          <w:sz w:val="22"/>
          <w:u w:val="single"/>
          <w:lang w:eastAsia="en-US"/>
        </w:rPr>
        <w:t>3-1- Conditions d’adhésion au groupement</w:t>
      </w:r>
    </w:p>
    <w:p w:rsidR="00C63C39" w:rsidRPr="00610889" w:rsidRDefault="00C63C39" w:rsidP="00C63C39">
      <w:pPr>
        <w:widowControl w:val="0"/>
        <w:overflowPunct/>
        <w:autoSpaceDE/>
        <w:autoSpaceDN/>
        <w:adjustRightInd/>
        <w:spacing w:before="120"/>
        <w:jc w:val="both"/>
        <w:textAlignment w:val="auto"/>
        <w:rPr>
          <w:rFonts w:ascii="Calibri" w:hAnsi="Calibri"/>
          <w:sz w:val="22"/>
        </w:rPr>
      </w:pPr>
      <w:r w:rsidRPr="00610889">
        <w:rPr>
          <w:rFonts w:ascii="Calibri" w:hAnsi="Calibri"/>
          <w:sz w:val="22"/>
        </w:rPr>
        <w:t xml:space="preserve">Les membres fondateurs du groupement de commandes, accepteront, sans qu’il soit besoin de délibérer, l’adhésion au groupement de </w:t>
      </w:r>
      <w:proofErr w:type="gramStart"/>
      <w:r w:rsidRPr="00610889">
        <w:rPr>
          <w:rFonts w:ascii="Calibri" w:hAnsi="Calibri"/>
          <w:sz w:val="22"/>
        </w:rPr>
        <w:t>toute commune membre</w:t>
      </w:r>
      <w:proofErr w:type="gramEnd"/>
      <w:r w:rsidRPr="00610889">
        <w:rPr>
          <w:rFonts w:ascii="Calibri" w:hAnsi="Calibri"/>
          <w:sz w:val="22"/>
        </w:rPr>
        <w:t xml:space="preserve"> de l’EPCI, </w:t>
      </w:r>
      <w:r w:rsidR="001A5039">
        <w:rPr>
          <w:rFonts w:ascii="Calibri" w:hAnsi="Calibri"/>
          <w:sz w:val="22"/>
        </w:rPr>
        <w:t>Territoire d’énergie Mayenne</w:t>
      </w:r>
      <w:r w:rsidRPr="00610889">
        <w:rPr>
          <w:rFonts w:ascii="Calibri" w:hAnsi="Calibri"/>
          <w:sz w:val="22"/>
        </w:rPr>
        <w:t xml:space="preserve">, après délibération de celle-ci. </w:t>
      </w:r>
    </w:p>
    <w:p w:rsidR="00C63C39" w:rsidRPr="00610889" w:rsidRDefault="00C63C39" w:rsidP="00662844">
      <w:pPr>
        <w:widowControl w:val="0"/>
        <w:overflowPunct/>
        <w:autoSpaceDE/>
        <w:autoSpaceDN/>
        <w:adjustRightInd/>
        <w:spacing w:before="120"/>
        <w:jc w:val="both"/>
        <w:textAlignment w:val="auto"/>
        <w:rPr>
          <w:rFonts w:ascii="Calibri" w:hAnsi="Calibri"/>
          <w:sz w:val="22"/>
        </w:rPr>
      </w:pPr>
      <w:r w:rsidRPr="00610889">
        <w:rPr>
          <w:rFonts w:ascii="Calibri" w:hAnsi="Calibri"/>
          <w:sz w:val="22"/>
        </w:rPr>
        <w:t xml:space="preserve">Une fois membre du groupement, la commune accepte également l’entrée dans le groupement d’une autre commune de </w:t>
      </w:r>
      <w:r w:rsidRPr="00662844">
        <w:rPr>
          <w:rFonts w:ascii="Calibri" w:eastAsia="Arial" w:hAnsi="Calibri"/>
          <w:sz w:val="22"/>
          <w:lang w:eastAsia="en-US"/>
        </w:rPr>
        <w:t>l’EPCI</w:t>
      </w:r>
      <w:r w:rsidRPr="00610889">
        <w:rPr>
          <w:rFonts w:ascii="Calibri" w:hAnsi="Calibri"/>
          <w:sz w:val="22"/>
        </w:rPr>
        <w:t xml:space="preserve">. Le coordonnateur complète en conséquence la convention constitutive, la dépose en Préfecture et la notifie aux autres membres du groupement. </w:t>
      </w:r>
    </w:p>
    <w:p w:rsidR="00C63C39" w:rsidRPr="00610889" w:rsidRDefault="00C63C39" w:rsidP="00662844">
      <w:pPr>
        <w:widowControl w:val="0"/>
        <w:overflowPunct/>
        <w:autoSpaceDE/>
        <w:autoSpaceDN/>
        <w:adjustRightInd/>
        <w:spacing w:before="120"/>
        <w:jc w:val="both"/>
        <w:textAlignment w:val="auto"/>
        <w:rPr>
          <w:rFonts w:ascii="Calibri" w:hAnsi="Calibri"/>
          <w:sz w:val="22"/>
          <w:u w:val="single"/>
        </w:rPr>
      </w:pPr>
      <w:r w:rsidRPr="00610889">
        <w:rPr>
          <w:rFonts w:ascii="Calibri" w:hAnsi="Calibri"/>
          <w:sz w:val="22"/>
          <w:u w:val="single"/>
        </w:rPr>
        <w:t>3-2 –</w:t>
      </w:r>
      <w:r w:rsidRPr="00662844">
        <w:rPr>
          <w:rFonts w:ascii="Calibri" w:eastAsia="Calibri" w:hAnsi="Calibri"/>
          <w:sz w:val="22"/>
          <w:u w:val="single"/>
          <w:lang w:eastAsia="en-US"/>
        </w:rPr>
        <w:t>Conditions</w:t>
      </w:r>
      <w:r w:rsidRPr="00610889">
        <w:rPr>
          <w:rFonts w:ascii="Calibri" w:hAnsi="Calibri"/>
          <w:sz w:val="22"/>
          <w:u w:val="single"/>
        </w:rPr>
        <w:t xml:space="preserve"> de sortie du groupement</w:t>
      </w:r>
    </w:p>
    <w:p w:rsidR="00C63C39" w:rsidRPr="00610889" w:rsidRDefault="00C63C39" w:rsidP="00C63C39">
      <w:pPr>
        <w:widowControl w:val="0"/>
        <w:overflowPunct/>
        <w:autoSpaceDE/>
        <w:autoSpaceDN/>
        <w:adjustRightInd/>
        <w:spacing w:before="120"/>
        <w:jc w:val="both"/>
        <w:textAlignment w:val="auto"/>
        <w:rPr>
          <w:rFonts w:ascii="Calibri" w:hAnsi="Calibri"/>
          <w:sz w:val="22"/>
        </w:rPr>
      </w:pPr>
      <w:r w:rsidRPr="00610889">
        <w:rPr>
          <w:rFonts w:ascii="Calibri" w:hAnsi="Calibri"/>
          <w:sz w:val="22"/>
        </w:rPr>
        <w:t xml:space="preserve">Lorsqu'un membre souhaite quitter le groupement, il annonce son intention dans un délai de 6 mois avant </w:t>
      </w:r>
      <w:r>
        <w:rPr>
          <w:rFonts w:ascii="Calibri" w:hAnsi="Calibri"/>
          <w:sz w:val="22"/>
        </w:rPr>
        <w:t>la fin du marché en cours</w:t>
      </w:r>
      <w:r w:rsidRPr="00610889">
        <w:rPr>
          <w:rFonts w:ascii="Calibri" w:hAnsi="Calibri"/>
          <w:sz w:val="22"/>
        </w:rPr>
        <w:t xml:space="preserve">. Le coordonnateur effectue le solde comptable et financier de la situation du membre sortant. Si cette sortie entraîne des modifications sur le fonctionnement du groupement, elles sont prises en compte dans une convention modificative. </w:t>
      </w:r>
    </w:p>
    <w:p w:rsidR="00C63C39" w:rsidRPr="00610889" w:rsidRDefault="00C63C39" w:rsidP="00662844">
      <w:pPr>
        <w:widowControl w:val="0"/>
        <w:overflowPunct/>
        <w:autoSpaceDE/>
        <w:autoSpaceDN/>
        <w:adjustRightInd/>
        <w:spacing w:before="240" w:after="120"/>
        <w:textAlignment w:val="auto"/>
        <w:rPr>
          <w:rFonts w:ascii="Calibri" w:eastAsia="Arial" w:hAnsi="Calibri"/>
          <w:sz w:val="22"/>
          <w:lang w:eastAsia="en-US"/>
        </w:rPr>
      </w:pPr>
      <w:r w:rsidRPr="00610889">
        <w:rPr>
          <w:rFonts w:ascii="Calibri" w:eastAsia="Arial" w:hAnsi="Calibri"/>
          <w:b/>
          <w:bCs/>
          <w:sz w:val="22"/>
          <w:lang w:eastAsia="en-US"/>
        </w:rPr>
        <w:t>Article 4. - Obligations des membres</w:t>
      </w:r>
    </w:p>
    <w:p w:rsidR="00C63C39" w:rsidRPr="00610889" w:rsidRDefault="00C63C39" w:rsidP="00662844">
      <w:pPr>
        <w:widowControl w:val="0"/>
        <w:overflowPunct/>
        <w:autoSpaceDE/>
        <w:autoSpaceDN/>
        <w:adjustRightInd/>
        <w:spacing w:after="120"/>
        <w:jc w:val="both"/>
        <w:textAlignment w:val="auto"/>
        <w:rPr>
          <w:rFonts w:ascii="Calibri" w:eastAsia="Arial" w:hAnsi="Calibri"/>
          <w:sz w:val="22"/>
          <w:lang w:eastAsia="en-US"/>
        </w:rPr>
      </w:pPr>
      <w:r w:rsidRPr="00610889">
        <w:rPr>
          <w:rFonts w:ascii="Calibri" w:eastAsia="Arial" w:hAnsi="Calibri"/>
          <w:sz w:val="22"/>
          <w:lang w:eastAsia="en-US"/>
        </w:rPr>
        <w:t>Les membres sont chargés :</w:t>
      </w:r>
    </w:p>
    <w:p w:rsidR="00C63C39" w:rsidRDefault="001B28FA" w:rsidP="00C63C39">
      <w:pPr>
        <w:widowControl w:val="0"/>
        <w:numPr>
          <w:ilvl w:val="0"/>
          <w:numId w:val="1"/>
        </w:numPr>
        <w:tabs>
          <w:tab w:val="left" w:pos="709"/>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Pr>
          <w:rFonts w:ascii="Calibri" w:eastAsia="Arial" w:hAnsi="Calibri"/>
          <w:sz w:val="22"/>
          <w:lang w:eastAsia="en-US"/>
        </w:rPr>
        <w:t>e déterminer de façon exhaustive la nature et l’étendue des besoins à satisfaire. Ce recensement est réalisé au travers d’une fiche de collecte accessib</w:t>
      </w:r>
      <w:r w:rsidR="00B625A6">
        <w:rPr>
          <w:rFonts w:ascii="Calibri" w:eastAsia="Arial" w:hAnsi="Calibri"/>
          <w:sz w:val="22"/>
          <w:lang w:eastAsia="en-US"/>
        </w:rPr>
        <w:t>le sur le site du coordonnateur</w:t>
      </w:r>
      <w:r w:rsidR="00C63C39">
        <w:rPr>
          <w:rFonts w:ascii="Calibri" w:eastAsia="Arial" w:hAnsi="Calibri"/>
          <w:sz w:val="22"/>
          <w:lang w:eastAsia="en-US"/>
        </w:rPr>
        <w:t xml:space="preserve"> (www.</w:t>
      </w:r>
      <w:r w:rsidR="00CA4EA8">
        <w:rPr>
          <w:rFonts w:ascii="Calibri" w:eastAsia="Arial" w:hAnsi="Calibri"/>
          <w:sz w:val="22"/>
          <w:lang w:eastAsia="en-US"/>
        </w:rPr>
        <w:t>territoire-energie53</w:t>
      </w:r>
      <w:r w:rsidR="00C63C39">
        <w:rPr>
          <w:rFonts w:ascii="Calibri" w:eastAsia="Arial" w:hAnsi="Calibri"/>
          <w:sz w:val="22"/>
          <w:lang w:eastAsia="en-US"/>
        </w:rPr>
        <w:t>.fr)</w:t>
      </w:r>
    </w:p>
    <w:p w:rsidR="00C63C39" w:rsidRPr="00610889" w:rsidRDefault="001B28FA" w:rsidP="00C63C39">
      <w:pPr>
        <w:widowControl w:val="0"/>
        <w:numPr>
          <w:ilvl w:val="0"/>
          <w:numId w:val="1"/>
        </w:numPr>
        <w:tabs>
          <w:tab w:val="left" w:pos="709"/>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e communiquer au coordonnateur une évaluation de leurs besoins quantitatifs, par le truchement d’une fiche de collecte ;</w:t>
      </w:r>
    </w:p>
    <w:p w:rsidR="00C63C39" w:rsidRPr="00610889" w:rsidRDefault="001B28FA" w:rsidP="00C63C39">
      <w:pPr>
        <w:widowControl w:val="0"/>
        <w:numPr>
          <w:ilvl w:val="0"/>
          <w:numId w:val="1"/>
        </w:numPr>
        <w:tabs>
          <w:tab w:val="left" w:pos="709"/>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e respecter les demandes du coordonnateur en s’engageant à y répondre dans le délai imparti ;</w:t>
      </w:r>
    </w:p>
    <w:p w:rsidR="00C63C39" w:rsidRPr="00610889" w:rsidRDefault="001B28FA" w:rsidP="00C63C39">
      <w:pPr>
        <w:widowControl w:val="0"/>
        <w:numPr>
          <w:ilvl w:val="0"/>
          <w:numId w:val="1"/>
        </w:numPr>
        <w:tabs>
          <w:tab w:val="left" w:pos="709"/>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 xml:space="preserve">e participer éventuellement au comité technique du groupement ; </w:t>
      </w:r>
    </w:p>
    <w:p w:rsidR="00C63C39" w:rsidRPr="00610889" w:rsidRDefault="001B28FA" w:rsidP="00C63C39">
      <w:pPr>
        <w:widowControl w:val="0"/>
        <w:numPr>
          <w:ilvl w:val="0"/>
          <w:numId w:val="1"/>
        </w:numPr>
        <w:tabs>
          <w:tab w:val="left" w:pos="709"/>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e participer si besoin à la définition des prescriptions administratives et techniques (CCAP, CCTP, règlement de consultation), en collaboration avec le coordonnateur ;</w:t>
      </w:r>
    </w:p>
    <w:p w:rsidR="00C63C39" w:rsidRPr="00610889" w:rsidRDefault="001B28FA" w:rsidP="00C63C39">
      <w:pPr>
        <w:widowControl w:val="0"/>
        <w:numPr>
          <w:ilvl w:val="0"/>
          <w:numId w:val="1"/>
        </w:numPr>
        <w:tabs>
          <w:tab w:val="left" w:pos="709"/>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b/>
          <w:sz w:val="22"/>
          <w:lang w:eastAsia="en-US"/>
        </w:rPr>
        <w:t>D</w:t>
      </w:r>
      <w:r w:rsidR="00C63C39" w:rsidRPr="00EE2FA9">
        <w:rPr>
          <w:rFonts w:ascii="Calibri" w:eastAsia="Arial" w:hAnsi="Calibri"/>
          <w:b/>
          <w:sz w:val="22"/>
          <w:lang w:eastAsia="en-US"/>
        </w:rPr>
        <w:t>e respecter les clauses du contrat signé par le coordonnateur</w:t>
      </w:r>
      <w:r w:rsidR="00C63C39" w:rsidRPr="00610889">
        <w:rPr>
          <w:rFonts w:ascii="Calibri" w:eastAsia="Arial" w:hAnsi="Calibri"/>
          <w:sz w:val="22"/>
          <w:lang w:eastAsia="en-US"/>
        </w:rPr>
        <w:t> ;</w:t>
      </w:r>
    </w:p>
    <w:p w:rsidR="00C63C39" w:rsidRPr="00610889" w:rsidRDefault="001B28FA" w:rsidP="00C63C39">
      <w:pPr>
        <w:widowControl w:val="0"/>
        <w:numPr>
          <w:ilvl w:val="0"/>
          <w:numId w:val="1"/>
        </w:numPr>
        <w:tabs>
          <w:tab w:val="left" w:pos="709"/>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 xml:space="preserve">’inscrire le montant de l’opération qui le concerne dans le budget de sa collectivité/ EPCI et </w:t>
      </w:r>
      <w:r w:rsidR="00C63C39" w:rsidRPr="00EE2FA9">
        <w:rPr>
          <w:rFonts w:ascii="Calibri" w:eastAsia="Arial" w:hAnsi="Calibri"/>
          <w:b/>
          <w:sz w:val="22"/>
          <w:lang w:eastAsia="en-US"/>
        </w:rPr>
        <w:t xml:space="preserve">d’assurer l’exécution comptable du ou des marchés </w:t>
      </w:r>
      <w:r w:rsidR="00C63C39" w:rsidRPr="00610889">
        <w:rPr>
          <w:rFonts w:ascii="Calibri" w:eastAsia="Arial" w:hAnsi="Calibri"/>
          <w:sz w:val="22"/>
          <w:lang w:eastAsia="en-US"/>
        </w:rPr>
        <w:t xml:space="preserve">(et/ ou accords-cadres et marchés subséquents) </w:t>
      </w:r>
      <w:r w:rsidR="00C63C39" w:rsidRPr="00EE2FA9">
        <w:rPr>
          <w:rFonts w:ascii="Calibri" w:eastAsia="Arial" w:hAnsi="Calibri"/>
          <w:b/>
          <w:sz w:val="22"/>
          <w:lang w:eastAsia="en-US"/>
        </w:rPr>
        <w:t>qui le concerne</w:t>
      </w:r>
      <w:r w:rsidR="00C63C39" w:rsidRPr="00610889">
        <w:rPr>
          <w:rFonts w:ascii="Calibri" w:eastAsia="Arial" w:hAnsi="Calibri"/>
          <w:sz w:val="22"/>
          <w:lang w:eastAsia="en-US"/>
        </w:rPr>
        <w:t> ;</w:t>
      </w:r>
    </w:p>
    <w:p w:rsidR="00C63C39" w:rsidRPr="00610889" w:rsidRDefault="001B28FA" w:rsidP="00C63C39">
      <w:pPr>
        <w:widowControl w:val="0"/>
        <w:numPr>
          <w:ilvl w:val="0"/>
          <w:numId w:val="1"/>
        </w:numPr>
        <w:tabs>
          <w:tab w:val="left" w:pos="709"/>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 xml:space="preserve">’informer le coordonnateur de tout litige né à l’occasion de l’exécution de ses marchés et/ou accords-cadres et marchés subséquents. Le règlement des litiges relève de la responsabilité de chacun des membres du </w:t>
      </w:r>
      <w:r w:rsidRPr="00610889">
        <w:rPr>
          <w:rFonts w:ascii="Calibri" w:eastAsia="Arial" w:hAnsi="Calibri"/>
          <w:sz w:val="22"/>
          <w:lang w:eastAsia="en-US"/>
        </w:rPr>
        <w:t>groupement ;</w:t>
      </w:r>
    </w:p>
    <w:p w:rsidR="00662844" w:rsidRDefault="001B28FA" w:rsidP="00C63C39">
      <w:pPr>
        <w:widowControl w:val="0"/>
        <w:numPr>
          <w:ilvl w:val="0"/>
          <w:numId w:val="1"/>
        </w:numPr>
        <w:tabs>
          <w:tab w:val="left" w:pos="709"/>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e participer financièrement aux frais de fonctionnement du groupement conformément à l'article 7.</w:t>
      </w:r>
    </w:p>
    <w:p w:rsidR="00B701D1" w:rsidRDefault="00B701D1" w:rsidP="009B74B5">
      <w:pPr>
        <w:widowControl w:val="0"/>
        <w:tabs>
          <w:tab w:val="left" w:pos="709"/>
        </w:tabs>
        <w:overflowPunct/>
        <w:autoSpaceDE/>
        <w:autoSpaceDN/>
        <w:adjustRightInd/>
        <w:spacing w:after="200" w:line="276" w:lineRule="auto"/>
        <w:ind w:left="709"/>
        <w:contextualSpacing/>
        <w:jc w:val="both"/>
        <w:textAlignment w:val="auto"/>
        <w:rPr>
          <w:rFonts w:ascii="Calibri" w:eastAsia="Arial" w:hAnsi="Calibri"/>
          <w:sz w:val="22"/>
          <w:lang w:eastAsia="en-US"/>
        </w:rPr>
      </w:pPr>
    </w:p>
    <w:p w:rsidR="00C63C39" w:rsidRPr="00610889" w:rsidRDefault="00C63C39" w:rsidP="00662844">
      <w:pPr>
        <w:widowControl w:val="0"/>
        <w:overflowPunct/>
        <w:autoSpaceDE/>
        <w:autoSpaceDN/>
        <w:adjustRightInd/>
        <w:spacing w:before="240" w:after="120"/>
        <w:textAlignment w:val="auto"/>
        <w:rPr>
          <w:rFonts w:ascii="Calibri" w:eastAsia="Arial" w:hAnsi="Calibri"/>
          <w:sz w:val="22"/>
          <w:lang w:eastAsia="en-US"/>
        </w:rPr>
      </w:pPr>
      <w:r w:rsidRPr="00610889">
        <w:rPr>
          <w:rFonts w:ascii="Calibri" w:eastAsia="Arial" w:hAnsi="Calibri"/>
          <w:b/>
          <w:bCs/>
          <w:sz w:val="22"/>
          <w:lang w:eastAsia="en-US"/>
        </w:rPr>
        <w:lastRenderedPageBreak/>
        <w:t>Article 5. - Missions du coordonnateur</w:t>
      </w:r>
    </w:p>
    <w:p w:rsidR="00C63C39" w:rsidRPr="00610889" w:rsidRDefault="00C63C39" w:rsidP="00C63C39">
      <w:pPr>
        <w:widowControl w:val="0"/>
        <w:overflowPunct/>
        <w:autoSpaceDE/>
        <w:autoSpaceDN/>
        <w:adjustRightInd/>
        <w:contextualSpacing/>
        <w:jc w:val="both"/>
        <w:textAlignment w:val="auto"/>
        <w:rPr>
          <w:rFonts w:ascii="Calibri" w:hAnsi="Calibri"/>
          <w:sz w:val="22"/>
        </w:rPr>
      </w:pPr>
      <w:r w:rsidRPr="00610889">
        <w:rPr>
          <w:rFonts w:ascii="Calibri" w:eastAsia="Arial" w:hAnsi="Calibri"/>
          <w:sz w:val="22"/>
          <w:lang w:eastAsia="en-US"/>
        </w:rPr>
        <w:t xml:space="preserve">Le coordonnateur est désigné pour la durée de la convention. </w:t>
      </w:r>
      <w:r w:rsidRPr="00610889">
        <w:rPr>
          <w:rFonts w:ascii="Calibri" w:hAnsi="Calibri"/>
          <w:sz w:val="22"/>
        </w:rPr>
        <w:t>Ses missions se limitent à signer et notifier les marchés et/ou accords-cadres et marchés subséquents</w:t>
      </w:r>
      <w:r>
        <w:rPr>
          <w:rFonts w:ascii="Calibri" w:hAnsi="Calibri"/>
          <w:sz w:val="22"/>
        </w:rPr>
        <w:t xml:space="preserve"> pour le compte des membres</w:t>
      </w:r>
      <w:r w:rsidRPr="00610889">
        <w:rPr>
          <w:rFonts w:ascii="Calibri" w:hAnsi="Calibri"/>
          <w:sz w:val="22"/>
        </w:rPr>
        <w:t>.</w:t>
      </w:r>
    </w:p>
    <w:p w:rsidR="00C63C39" w:rsidRPr="00610889" w:rsidRDefault="00CA6DC9" w:rsidP="00662844">
      <w:pPr>
        <w:widowControl w:val="0"/>
        <w:overflowPunct/>
        <w:autoSpaceDE/>
        <w:autoSpaceDN/>
        <w:adjustRightInd/>
        <w:spacing w:before="120"/>
        <w:jc w:val="both"/>
        <w:textAlignment w:val="auto"/>
        <w:rPr>
          <w:rFonts w:ascii="Calibri" w:hAnsi="Calibri"/>
          <w:sz w:val="22"/>
        </w:rPr>
      </w:pPr>
      <w:r>
        <w:rPr>
          <w:rFonts w:ascii="Calibri" w:hAnsi="Calibri"/>
          <w:b/>
          <w:sz w:val="22"/>
        </w:rPr>
        <w:t>Chaque collectivité</w:t>
      </w:r>
      <w:r w:rsidR="00C63C39">
        <w:rPr>
          <w:rFonts w:ascii="Calibri" w:hAnsi="Calibri"/>
          <w:b/>
          <w:sz w:val="22"/>
        </w:rPr>
        <w:t xml:space="preserve"> reste</w:t>
      </w:r>
      <w:r w:rsidR="00C63C39" w:rsidRPr="000C7BF3">
        <w:rPr>
          <w:rFonts w:ascii="Calibri" w:hAnsi="Calibri"/>
          <w:b/>
          <w:sz w:val="22"/>
        </w:rPr>
        <w:t xml:space="preserve"> responsable de ses engagements</w:t>
      </w:r>
      <w:r w:rsidR="00C63C39">
        <w:rPr>
          <w:rFonts w:ascii="Calibri" w:hAnsi="Calibri"/>
          <w:b/>
          <w:sz w:val="22"/>
        </w:rPr>
        <w:t xml:space="preserve"> au titre de l’exécution de ses contrats</w:t>
      </w:r>
      <w:r w:rsidR="00C63C39" w:rsidRPr="00610889">
        <w:rPr>
          <w:rFonts w:ascii="Calibri" w:hAnsi="Calibri"/>
          <w:sz w:val="22"/>
        </w:rPr>
        <w:t xml:space="preserve"> et le coordonnateur ne saurait en aucun cas être tenu responsable de tout litige qui pourrait naître du non-respect de ses obligations. </w:t>
      </w:r>
    </w:p>
    <w:p w:rsidR="00C63C39" w:rsidRPr="00610889" w:rsidRDefault="00C63C39" w:rsidP="00662844">
      <w:pPr>
        <w:widowControl w:val="0"/>
        <w:overflowPunct/>
        <w:autoSpaceDE/>
        <w:autoSpaceDN/>
        <w:adjustRightInd/>
        <w:spacing w:before="120"/>
        <w:jc w:val="both"/>
        <w:textAlignment w:val="auto"/>
        <w:rPr>
          <w:rFonts w:ascii="Calibri" w:hAnsi="Calibri"/>
          <w:sz w:val="22"/>
        </w:rPr>
      </w:pPr>
      <w:r w:rsidRPr="00610889">
        <w:rPr>
          <w:rFonts w:ascii="Calibri" w:hAnsi="Calibri"/>
          <w:sz w:val="22"/>
        </w:rPr>
        <w:t>Afin de mener à bien les consultations organisées pour le groupement, le coordonnateur est ainsi chargé :</w:t>
      </w:r>
    </w:p>
    <w:p w:rsidR="00C63C39" w:rsidRPr="00610889" w:rsidRDefault="00E21239" w:rsidP="00C63C39">
      <w:pPr>
        <w:widowControl w:val="0"/>
        <w:numPr>
          <w:ilvl w:val="0"/>
          <w:numId w:val="1"/>
        </w:numPr>
        <w:tabs>
          <w:tab w:val="left" w:pos="1300"/>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'assister les membres dans la définition de leurs besoins et de centraliser ces besoins sur la base d'une définition préalable établie par lui en concertation avec les membres. À cette fin, le coordonnateur peut, en tant que de besoin, solliciter, au nom des membres et directement auprès des gestionnaires de réseaux et des fournisseurs d'énergie, l'ensemble des informations relatives aux différents points de livraison ;</w:t>
      </w:r>
    </w:p>
    <w:p w:rsidR="00C63C39" w:rsidRPr="00610889" w:rsidRDefault="00E21239" w:rsidP="00C63C39">
      <w:pPr>
        <w:widowControl w:val="0"/>
        <w:numPr>
          <w:ilvl w:val="0"/>
          <w:numId w:val="1"/>
        </w:numPr>
        <w:tabs>
          <w:tab w:val="left" w:pos="1300"/>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e définir l'organisation technique et administrative des procédures de consultation (il peut être constitué une commission interne de sélection des offres au sein de laquelle tous les membres du groupement sont également représentés s'il s'agit d'un marché passé selon la procédure adaptée. Le coordonnateur veillera à la rédaction et à la diffusion des procès-verbaux de cette commission ;</w:t>
      </w:r>
    </w:p>
    <w:p w:rsidR="00C63C39" w:rsidRPr="00610889" w:rsidRDefault="00E21239" w:rsidP="00C63C39">
      <w:pPr>
        <w:widowControl w:val="0"/>
        <w:numPr>
          <w:ilvl w:val="0"/>
          <w:numId w:val="2"/>
        </w:numPr>
        <w:tabs>
          <w:tab w:val="left" w:pos="1300"/>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'assurer l'ensemble des opérations de sélection des cocontractants (publication des avis d'appel public à la concurrence et d'attribution, envoi des dossiers de consultation des entreprises, réception des offres, analyse des offres, rapport de présentation, convocation et réunion de la commission d'appel d'offres, etc.) ;</w:t>
      </w:r>
    </w:p>
    <w:p w:rsidR="00C63C39" w:rsidRPr="00610889" w:rsidRDefault="00E21239" w:rsidP="00C63C39">
      <w:pPr>
        <w:widowControl w:val="0"/>
        <w:numPr>
          <w:ilvl w:val="0"/>
          <w:numId w:val="2"/>
        </w:numPr>
        <w:tabs>
          <w:tab w:val="left" w:pos="1300"/>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e signer et notifier les marchés ;</w:t>
      </w:r>
    </w:p>
    <w:p w:rsidR="00C63C39" w:rsidRPr="00610889" w:rsidRDefault="00E21239" w:rsidP="00C63C39">
      <w:pPr>
        <w:widowControl w:val="0"/>
        <w:numPr>
          <w:ilvl w:val="0"/>
          <w:numId w:val="2"/>
        </w:numPr>
        <w:tabs>
          <w:tab w:val="left" w:pos="1300"/>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b/>
          <w:sz w:val="22"/>
          <w:lang w:eastAsia="en-US"/>
        </w:rPr>
        <w:t>D</w:t>
      </w:r>
      <w:r w:rsidR="00C63C39" w:rsidRPr="004074E0">
        <w:rPr>
          <w:rFonts w:ascii="Calibri" w:eastAsia="Arial" w:hAnsi="Calibri"/>
          <w:b/>
          <w:sz w:val="22"/>
          <w:lang w:eastAsia="en-US"/>
        </w:rPr>
        <w:t>e transmettre aux membres les documents nécessaires à l'exécution des marchés en ce qui les concerne</w:t>
      </w:r>
      <w:r w:rsidR="00C63C39" w:rsidRPr="00610889">
        <w:rPr>
          <w:rFonts w:ascii="Calibri" w:eastAsia="Arial" w:hAnsi="Calibri"/>
          <w:sz w:val="22"/>
          <w:lang w:eastAsia="en-US"/>
        </w:rPr>
        <w:t> ;</w:t>
      </w:r>
    </w:p>
    <w:p w:rsidR="00C63C39" w:rsidRPr="00610889" w:rsidRDefault="00E21239" w:rsidP="00C63C39">
      <w:pPr>
        <w:widowControl w:val="0"/>
        <w:numPr>
          <w:ilvl w:val="0"/>
          <w:numId w:val="2"/>
        </w:numPr>
        <w:tabs>
          <w:tab w:val="left" w:pos="1300"/>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e gérer la mise en œuvre de clauses d'ajustement et de révision des prix (simple information lorsque les membres gèrent leurs marchés) ;</w:t>
      </w:r>
    </w:p>
    <w:p w:rsidR="00C63C39" w:rsidRPr="00610889" w:rsidRDefault="00E21239" w:rsidP="00C63C39">
      <w:pPr>
        <w:widowControl w:val="0"/>
        <w:numPr>
          <w:ilvl w:val="0"/>
          <w:numId w:val="2"/>
        </w:numPr>
        <w:tabs>
          <w:tab w:val="left" w:pos="1300"/>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e coordonner la reconduction des marchés (simple information lorsque les membres gèrent leurs marchés) ;</w:t>
      </w:r>
    </w:p>
    <w:p w:rsidR="00C63C39" w:rsidRPr="00610889" w:rsidRDefault="00E21239" w:rsidP="00C63C39">
      <w:pPr>
        <w:widowControl w:val="0"/>
        <w:numPr>
          <w:ilvl w:val="0"/>
          <w:numId w:val="2"/>
        </w:numPr>
        <w:tabs>
          <w:tab w:val="left" w:pos="1300"/>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e transmettre les marchés aux autorités de contrôle ;</w:t>
      </w:r>
    </w:p>
    <w:p w:rsidR="00C63C39" w:rsidRPr="00610889" w:rsidRDefault="00E21239" w:rsidP="00C63C39">
      <w:pPr>
        <w:widowControl w:val="0"/>
        <w:numPr>
          <w:ilvl w:val="0"/>
          <w:numId w:val="2"/>
        </w:numPr>
        <w:tabs>
          <w:tab w:val="left" w:pos="1300"/>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 xml:space="preserve">e gérer les </w:t>
      </w:r>
      <w:r w:rsidR="008D5BF9" w:rsidRPr="00610889">
        <w:rPr>
          <w:rFonts w:ascii="Calibri" w:eastAsia="Arial" w:hAnsi="Calibri"/>
          <w:sz w:val="22"/>
          <w:lang w:eastAsia="en-US"/>
        </w:rPr>
        <w:t>précontentieux</w:t>
      </w:r>
      <w:r w:rsidR="00C63C39" w:rsidRPr="00610889">
        <w:rPr>
          <w:rFonts w:ascii="Calibri" w:eastAsia="Arial" w:hAnsi="Calibri"/>
          <w:sz w:val="22"/>
          <w:lang w:eastAsia="en-US"/>
        </w:rPr>
        <w:t xml:space="preserve"> et les contentieux formés par ou contre le groupement, à l'exception des litiges formés à titre individuel par un membre du groupement ;</w:t>
      </w:r>
    </w:p>
    <w:p w:rsidR="00C63C39" w:rsidRPr="00610889" w:rsidRDefault="00E21239" w:rsidP="00C63C39">
      <w:pPr>
        <w:widowControl w:val="0"/>
        <w:numPr>
          <w:ilvl w:val="0"/>
          <w:numId w:val="2"/>
        </w:numPr>
        <w:tabs>
          <w:tab w:val="left" w:pos="1300"/>
        </w:tabs>
        <w:overflowPunct/>
        <w:autoSpaceDE/>
        <w:autoSpaceDN/>
        <w:adjustRightInd/>
        <w:spacing w:after="200" w:line="276" w:lineRule="auto"/>
        <w:ind w:left="709"/>
        <w:contextualSpacing/>
        <w:jc w:val="both"/>
        <w:textAlignment w:val="auto"/>
        <w:rPr>
          <w:rFonts w:ascii="Calibri" w:eastAsia="Arial" w:hAnsi="Calibri"/>
          <w:sz w:val="22"/>
          <w:lang w:eastAsia="en-US"/>
        </w:rPr>
      </w:pPr>
      <w:r>
        <w:rPr>
          <w:rFonts w:ascii="Calibri" w:eastAsia="Arial" w:hAnsi="Calibri"/>
          <w:sz w:val="22"/>
          <w:lang w:eastAsia="en-US"/>
        </w:rPr>
        <w:t>D</w:t>
      </w:r>
      <w:r w:rsidR="00C63C39" w:rsidRPr="00610889">
        <w:rPr>
          <w:rFonts w:ascii="Calibri" w:eastAsia="Arial" w:hAnsi="Calibri"/>
          <w:sz w:val="22"/>
          <w:lang w:eastAsia="en-US"/>
        </w:rPr>
        <w:t>e réaliser les avenants.</w:t>
      </w:r>
    </w:p>
    <w:p w:rsidR="00C63C39" w:rsidRPr="00610889" w:rsidRDefault="00C63C39" w:rsidP="00662844">
      <w:pPr>
        <w:widowControl w:val="0"/>
        <w:overflowPunct/>
        <w:autoSpaceDE/>
        <w:autoSpaceDN/>
        <w:adjustRightInd/>
        <w:spacing w:before="480" w:after="120"/>
        <w:textAlignment w:val="auto"/>
        <w:rPr>
          <w:rFonts w:ascii="Calibri" w:eastAsia="Arial" w:hAnsi="Calibri"/>
          <w:sz w:val="22"/>
          <w:lang w:eastAsia="en-US"/>
        </w:rPr>
      </w:pPr>
      <w:r w:rsidRPr="00610889">
        <w:rPr>
          <w:rFonts w:ascii="Calibri" w:eastAsia="Arial" w:hAnsi="Calibri"/>
          <w:b/>
          <w:bCs/>
          <w:sz w:val="22"/>
          <w:lang w:eastAsia="en-US"/>
        </w:rPr>
        <w:t>Article 6. - Commission d'appel d'offres (CAO)</w:t>
      </w:r>
    </w:p>
    <w:p w:rsidR="00B701D1" w:rsidRPr="00610889" w:rsidRDefault="00B701D1" w:rsidP="00C63C39">
      <w:pPr>
        <w:widowControl w:val="0"/>
        <w:overflowPunct/>
        <w:autoSpaceDE/>
        <w:autoSpaceDN/>
        <w:adjustRightInd/>
        <w:contextualSpacing/>
        <w:jc w:val="both"/>
        <w:textAlignment w:val="auto"/>
        <w:rPr>
          <w:rFonts w:ascii="Calibri" w:eastAsia="Arial" w:hAnsi="Calibri"/>
          <w:sz w:val="22"/>
          <w:lang w:eastAsia="en-US"/>
        </w:rPr>
      </w:pPr>
      <w:r w:rsidRPr="003D399E">
        <w:rPr>
          <w:rFonts w:ascii="Calibri" w:hAnsi="Calibri"/>
          <w:sz w:val="22"/>
        </w:rPr>
        <w:t>La commission d’appel d’offres du coordonnateur est désignée pour choisir les titulaires des marchés et accords-cadres. Elle interviendra dans les conditions fixées par les règles de la commande publique et se réunira autant que de besoin.</w:t>
      </w:r>
    </w:p>
    <w:p w:rsidR="00B02AA9" w:rsidRDefault="00C63C39" w:rsidP="00C63C39">
      <w:pPr>
        <w:widowControl w:val="0"/>
        <w:overflowPunct/>
        <w:autoSpaceDE/>
        <w:autoSpaceDN/>
        <w:adjustRightInd/>
        <w:contextualSpacing/>
        <w:jc w:val="both"/>
        <w:textAlignment w:val="auto"/>
        <w:rPr>
          <w:rFonts w:ascii="Calibri" w:hAnsi="Calibri"/>
          <w:sz w:val="22"/>
        </w:rPr>
      </w:pPr>
      <w:r w:rsidRPr="00610889">
        <w:rPr>
          <w:rFonts w:ascii="Calibri" w:hAnsi="Calibri"/>
          <w:sz w:val="22"/>
        </w:rPr>
        <w:t>En cas de sortie du coordonnateur du groupement ou dans toute autre hypothèse où le coordonnateur ne serait plus en mesure d'assurer son rôle, une convention modificative ou avenant interviendra pour désigner un nouveau coordonnateur.</w:t>
      </w:r>
    </w:p>
    <w:p w:rsidR="00B02AA9" w:rsidRDefault="00B02AA9">
      <w:pPr>
        <w:overflowPunct/>
        <w:autoSpaceDE/>
        <w:autoSpaceDN/>
        <w:adjustRightInd/>
        <w:spacing w:after="200" w:line="276" w:lineRule="auto"/>
        <w:textAlignment w:val="auto"/>
        <w:rPr>
          <w:rFonts w:ascii="Calibri" w:hAnsi="Calibri"/>
          <w:sz w:val="22"/>
        </w:rPr>
      </w:pPr>
      <w:r>
        <w:rPr>
          <w:rFonts w:ascii="Calibri" w:hAnsi="Calibri"/>
          <w:sz w:val="22"/>
        </w:rPr>
        <w:br w:type="page"/>
      </w:r>
    </w:p>
    <w:p w:rsidR="00662844" w:rsidRDefault="00662844" w:rsidP="00C63C39">
      <w:pPr>
        <w:widowControl w:val="0"/>
        <w:overflowPunct/>
        <w:autoSpaceDE/>
        <w:autoSpaceDN/>
        <w:adjustRightInd/>
        <w:contextualSpacing/>
        <w:jc w:val="both"/>
        <w:textAlignment w:val="auto"/>
        <w:rPr>
          <w:rFonts w:ascii="Calibri" w:hAnsi="Calibri"/>
          <w:sz w:val="22"/>
        </w:rPr>
      </w:pPr>
    </w:p>
    <w:p w:rsidR="00C63C39" w:rsidRPr="00610889" w:rsidRDefault="00C63C39" w:rsidP="00662844">
      <w:pPr>
        <w:widowControl w:val="0"/>
        <w:overflowPunct/>
        <w:autoSpaceDE/>
        <w:autoSpaceDN/>
        <w:adjustRightInd/>
        <w:spacing w:before="240" w:after="120"/>
        <w:textAlignment w:val="auto"/>
        <w:rPr>
          <w:rFonts w:ascii="Calibri" w:eastAsia="Arial" w:hAnsi="Calibri"/>
          <w:sz w:val="22"/>
          <w:lang w:eastAsia="en-US"/>
        </w:rPr>
      </w:pPr>
      <w:r w:rsidRPr="00610889">
        <w:rPr>
          <w:rFonts w:ascii="Calibri" w:eastAsia="Arial" w:hAnsi="Calibri"/>
          <w:b/>
          <w:bCs/>
          <w:sz w:val="22"/>
          <w:lang w:eastAsia="en-US"/>
        </w:rPr>
        <w:t>Article 7. - Dispositions financières : indemnisation du coordonnateur</w:t>
      </w:r>
    </w:p>
    <w:p w:rsidR="00C63C39" w:rsidRPr="00422350" w:rsidRDefault="00C63C39" w:rsidP="00C63C39">
      <w:pPr>
        <w:widowControl w:val="0"/>
        <w:overflowPunct/>
        <w:autoSpaceDE/>
        <w:autoSpaceDN/>
        <w:adjustRightInd/>
        <w:contextualSpacing/>
        <w:jc w:val="both"/>
        <w:textAlignment w:val="auto"/>
        <w:rPr>
          <w:rFonts w:ascii="Calibri" w:eastAsia="Arial" w:hAnsi="Calibri"/>
          <w:sz w:val="22"/>
          <w:u w:val="single"/>
          <w:lang w:eastAsia="en-US"/>
        </w:rPr>
      </w:pPr>
      <w:r w:rsidRPr="00422350">
        <w:rPr>
          <w:rFonts w:ascii="Calibri" w:eastAsia="Arial" w:hAnsi="Calibri"/>
          <w:sz w:val="22"/>
          <w:u w:val="single"/>
          <w:lang w:eastAsia="en-US"/>
        </w:rPr>
        <w:t xml:space="preserve">7.1 Frais du groupement : </w:t>
      </w:r>
    </w:p>
    <w:p w:rsidR="00C63C39" w:rsidRPr="00422350" w:rsidRDefault="00C63C39" w:rsidP="00C63C39">
      <w:pPr>
        <w:widowControl w:val="0"/>
        <w:overflowPunct/>
        <w:autoSpaceDE/>
        <w:autoSpaceDN/>
        <w:adjustRightInd/>
        <w:spacing w:before="120"/>
        <w:jc w:val="both"/>
        <w:textAlignment w:val="auto"/>
        <w:rPr>
          <w:rFonts w:ascii="Calibri" w:eastAsia="Arial" w:hAnsi="Calibri"/>
          <w:sz w:val="22"/>
          <w:lang w:eastAsia="en-US"/>
        </w:rPr>
      </w:pPr>
      <w:r w:rsidRPr="00422350">
        <w:rPr>
          <w:rFonts w:ascii="Calibri" w:eastAsia="Arial" w:hAnsi="Calibri"/>
          <w:sz w:val="22"/>
          <w:lang w:eastAsia="en-US"/>
        </w:rPr>
        <w:t>Pour toute procédure de passation d’un marché public ou d’un accord cadre, le coordonnateur solliciter</w:t>
      </w:r>
      <w:r w:rsidR="00E21239">
        <w:rPr>
          <w:rFonts w:ascii="Calibri" w:eastAsia="Arial" w:hAnsi="Calibri"/>
          <w:sz w:val="22"/>
          <w:lang w:eastAsia="en-US"/>
        </w:rPr>
        <w:t xml:space="preserve">a une participation financière </w:t>
      </w:r>
      <w:r w:rsidRPr="00422350">
        <w:rPr>
          <w:rFonts w:ascii="Calibri" w:eastAsia="Arial" w:hAnsi="Calibri"/>
          <w:sz w:val="22"/>
          <w:lang w:eastAsia="en-US"/>
        </w:rPr>
        <w:t>auprès de chacun des membres du groupement aux fins d’une contribution aux frais engagés pour l’accomplissement du mandat qui lui est confié par la présente convention.</w:t>
      </w:r>
    </w:p>
    <w:p w:rsidR="00C63C39" w:rsidRPr="00422350" w:rsidRDefault="00C63C39" w:rsidP="00C63C39">
      <w:pPr>
        <w:widowControl w:val="0"/>
        <w:overflowPunct/>
        <w:autoSpaceDE/>
        <w:autoSpaceDN/>
        <w:adjustRightInd/>
        <w:spacing w:before="120"/>
        <w:jc w:val="both"/>
        <w:textAlignment w:val="auto"/>
        <w:rPr>
          <w:rFonts w:ascii="Calibri" w:eastAsia="Arial" w:hAnsi="Calibri"/>
          <w:sz w:val="22"/>
          <w:lang w:eastAsia="en-US"/>
        </w:rPr>
      </w:pPr>
      <w:r w:rsidRPr="00422350">
        <w:rPr>
          <w:rFonts w:ascii="Calibri" w:eastAsia="Arial" w:hAnsi="Calibri"/>
          <w:sz w:val="22"/>
          <w:lang w:eastAsia="en-US"/>
        </w:rPr>
        <w:t xml:space="preserve">Les frais de gestion exposés par le coordonnateur et liés à la procédure de passation des marchés, </w:t>
      </w:r>
      <w:r w:rsidR="00E21239" w:rsidRPr="00422350">
        <w:rPr>
          <w:rFonts w:ascii="Calibri" w:eastAsia="Arial" w:hAnsi="Calibri"/>
          <w:sz w:val="22"/>
          <w:lang w:eastAsia="en-US"/>
        </w:rPr>
        <w:t>accords-cadres</w:t>
      </w:r>
      <w:r w:rsidRPr="00422350">
        <w:rPr>
          <w:rFonts w:ascii="Calibri" w:eastAsia="Arial" w:hAnsi="Calibri"/>
          <w:sz w:val="22"/>
          <w:lang w:eastAsia="en-US"/>
        </w:rPr>
        <w:t xml:space="preserve"> et marchés subséquents sont répercutés sur chaque membre au prorata du nombre et du type de contrats intégrés aux marchés susnommés.</w:t>
      </w:r>
    </w:p>
    <w:p w:rsidR="00C63C39" w:rsidRPr="00422350" w:rsidRDefault="00C63C39" w:rsidP="00C63C39">
      <w:pPr>
        <w:widowControl w:val="0"/>
        <w:overflowPunct/>
        <w:autoSpaceDE/>
        <w:autoSpaceDN/>
        <w:adjustRightInd/>
        <w:spacing w:before="120"/>
        <w:jc w:val="both"/>
        <w:textAlignment w:val="auto"/>
        <w:rPr>
          <w:rFonts w:ascii="Calibri" w:eastAsia="Arial" w:hAnsi="Calibri"/>
          <w:sz w:val="22"/>
          <w:lang w:eastAsia="en-US"/>
        </w:rPr>
      </w:pPr>
      <w:r w:rsidRPr="00422350">
        <w:rPr>
          <w:rFonts w:ascii="Calibri" w:eastAsia="Arial" w:hAnsi="Calibri"/>
          <w:sz w:val="22"/>
          <w:lang w:eastAsia="en-US"/>
        </w:rPr>
        <w:t>Le calcul de la participation de chaque membre sera établi selon les modalités suivantes :</w:t>
      </w:r>
    </w:p>
    <w:p w:rsidR="00C63C39" w:rsidRPr="00422350" w:rsidRDefault="00C63C39" w:rsidP="00C63C39">
      <w:pPr>
        <w:pStyle w:val="Paragraphedeliste"/>
        <w:widowControl w:val="0"/>
        <w:numPr>
          <w:ilvl w:val="0"/>
          <w:numId w:val="2"/>
        </w:numPr>
        <w:overflowPunct/>
        <w:autoSpaceDE/>
        <w:autoSpaceDN/>
        <w:adjustRightInd/>
        <w:spacing w:before="120"/>
        <w:ind w:left="567" w:firstLine="0"/>
        <w:jc w:val="both"/>
        <w:textAlignment w:val="auto"/>
        <w:rPr>
          <w:rFonts w:ascii="Calibri" w:eastAsia="Arial" w:hAnsi="Calibri"/>
          <w:sz w:val="22"/>
          <w:lang w:eastAsia="en-US"/>
        </w:rPr>
      </w:pPr>
      <w:r w:rsidRPr="008C7D9B">
        <w:rPr>
          <w:rFonts w:ascii="Calibri" w:eastAsia="Arial" w:hAnsi="Calibri"/>
          <w:b/>
          <w:sz w:val="22"/>
          <w:lang w:eastAsia="en-US"/>
        </w:rPr>
        <w:t xml:space="preserve">Tarifs </w:t>
      </w:r>
      <w:r w:rsidR="00D75684" w:rsidRPr="008C7D9B">
        <w:rPr>
          <w:rFonts w:ascii="Calibri" w:eastAsia="Arial" w:hAnsi="Calibri"/>
          <w:b/>
          <w:sz w:val="22"/>
          <w:lang w:eastAsia="en-US"/>
        </w:rPr>
        <w:t>« </w:t>
      </w:r>
      <w:r w:rsidRPr="008C7D9B">
        <w:rPr>
          <w:rFonts w:ascii="Calibri" w:eastAsia="Arial" w:hAnsi="Calibri"/>
          <w:b/>
          <w:sz w:val="22"/>
          <w:lang w:eastAsia="en-US"/>
        </w:rPr>
        <w:t>jaune</w:t>
      </w:r>
      <w:r w:rsidR="00D75684" w:rsidRPr="008C7D9B">
        <w:rPr>
          <w:rFonts w:ascii="Calibri" w:eastAsia="Arial" w:hAnsi="Calibri"/>
          <w:b/>
          <w:sz w:val="22"/>
          <w:lang w:eastAsia="en-US"/>
        </w:rPr>
        <w:t> »</w:t>
      </w:r>
      <w:r w:rsidRPr="00422350">
        <w:rPr>
          <w:rFonts w:ascii="Calibri" w:eastAsia="Arial" w:hAnsi="Calibri"/>
          <w:sz w:val="22"/>
          <w:lang w:eastAsia="en-US"/>
        </w:rPr>
        <w:t xml:space="preserve"> (puissance </w:t>
      </w:r>
      <w:r w:rsidR="00D75684">
        <w:rPr>
          <w:rFonts w:ascii="Calibri" w:eastAsia="Arial" w:hAnsi="Calibri"/>
          <w:sz w:val="22"/>
          <w:lang w:eastAsia="en-US"/>
        </w:rPr>
        <w:t xml:space="preserve">souscrite </w:t>
      </w:r>
      <w:r w:rsidRPr="00422350">
        <w:rPr>
          <w:rFonts w:ascii="Calibri" w:eastAsia="Arial" w:hAnsi="Calibri"/>
          <w:sz w:val="22"/>
          <w:lang w:eastAsia="en-US"/>
        </w:rPr>
        <w:t xml:space="preserve">comprise entre 36 et 250 kVa) : </w:t>
      </w:r>
      <w:r w:rsidRPr="008C7D9B">
        <w:rPr>
          <w:rFonts w:ascii="Calibri" w:eastAsia="Arial" w:hAnsi="Calibri"/>
          <w:b/>
          <w:sz w:val="22"/>
          <w:lang w:eastAsia="en-US"/>
        </w:rPr>
        <w:t>prix unitaire de 70€</w:t>
      </w:r>
      <w:r w:rsidRPr="00422350">
        <w:rPr>
          <w:rFonts w:ascii="Calibri" w:eastAsia="Arial" w:hAnsi="Calibri"/>
          <w:sz w:val="22"/>
          <w:lang w:eastAsia="en-US"/>
        </w:rPr>
        <w:t xml:space="preserve"> </w:t>
      </w:r>
    </w:p>
    <w:p w:rsidR="00C63C39" w:rsidRPr="00422350" w:rsidRDefault="00C63C39" w:rsidP="00C63C39">
      <w:pPr>
        <w:pStyle w:val="Paragraphedeliste"/>
        <w:rPr>
          <w:rFonts w:ascii="Calibri" w:eastAsia="Arial" w:hAnsi="Calibri"/>
          <w:sz w:val="22"/>
          <w:lang w:eastAsia="en-US"/>
        </w:rPr>
      </w:pPr>
    </w:p>
    <w:p w:rsidR="00422350" w:rsidRPr="00422350" w:rsidRDefault="00C63C39" w:rsidP="00C63C39">
      <w:pPr>
        <w:pStyle w:val="Paragraphedeliste"/>
        <w:widowControl w:val="0"/>
        <w:numPr>
          <w:ilvl w:val="0"/>
          <w:numId w:val="2"/>
        </w:numPr>
        <w:overflowPunct/>
        <w:autoSpaceDE/>
        <w:autoSpaceDN/>
        <w:adjustRightInd/>
        <w:spacing w:before="120"/>
        <w:ind w:left="567" w:firstLine="0"/>
        <w:jc w:val="both"/>
        <w:textAlignment w:val="auto"/>
        <w:rPr>
          <w:rFonts w:ascii="Calibri" w:eastAsia="Arial" w:hAnsi="Calibri"/>
          <w:sz w:val="22"/>
          <w:lang w:eastAsia="en-US"/>
        </w:rPr>
      </w:pPr>
      <w:r w:rsidRPr="008C7D9B">
        <w:rPr>
          <w:rFonts w:ascii="Calibri" w:eastAsia="Arial" w:hAnsi="Calibri"/>
          <w:b/>
          <w:sz w:val="22"/>
          <w:lang w:eastAsia="en-US"/>
        </w:rPr>
        <w:t>Tari</w:t>
      </w:r>
      <w:r w:rsidR="00D75684" w:rsidRPr="008C7D9B">
        <w:rPr>
          <w:rFonts w:ascii="Calibri" w:eastAsia="Arial" w:hAnsi="Calibri"/>
          <w:b/>
          <w:sz w:val="22"/>
          <w:lang w:eastAsia="en-US"/>
        </w:rPr>
        <w:t>f</w:t>
      </w:r>
      <w:r w:rsidRPr="008C7D9B">
        <w:rPr>
          <w:rFonts w:ascii="Calibri" w:eastAsia="Arial" w:hAnsi="Calibri"/>
          <w:b/>
          <w:sz w:val="22"/>
          <w:lang w:eastAsia="en-US"/>
        </w:rPr>
        <w:t>s</w:t>
      </w:r>
      <w:r w:rsidR="00D75684" w:rsidRPr="008C7D9B">
        <w:rPr>
          <w:rFonts w:ascii="Calibri" w:eastAsia="Arial" w:hAnsi="Calibri"/>
          <w:b/>
          <w:sz w:val="22"/>
          <w:lang w:eastAsia="en-US"/>
        </w:rPr>
        <w:t xml:space="preserve"> « </w:t>
      </w:r>
      <w:r w:rsidRPr="008C7D9B">
        <w:rPr>
          <w:rFonts w:ascii="Calibri" w:eastAsia="Arial" w:hAnsi="Calibri"/>
          <w:b/>
          <w:sz w:val="22"/>
          <w:lang w:eastAsia="en-US"/>
        </w:rPr>
        <w:t>vert</w:t>
      </w:r>
      <w:r w:rsidR="00D75684" w:rsidRPr="008C7D9B">
        <w:rPr>
          <w:rFonts w:ascii="Calibri" w:eastAsia="Arial" w:hAnsi="Calibri"/>
          <w:b/>
          <w:sz w:val="22"/>
          <w:lang w:eastAsia="en-US"/>
        </w:rPr>
        <w:t> »</w:t>
      </w:r>
      <w:r w:rsidR="00D75684">
        <w:rPr>
          <w:rFonts w:ascii="Calibri" w:eastAsia="Arial" w:hAnsi="Calibri"/>
          <w:sz w:val="22"/>
          <w:lang w:eastAsia="en-US"/>
        </w:rPr>
        <w:t xml:space="preserve"> (</w:t>
      </w:r>
      <w:r w:rsidR="00D75684" w:rsidRPr="00422350">
        <w:rPr>
          <w:rFonts w:ascii="Calibri" w:eastAsia="Arial" w:hAnsi="Calibri"/>
          <w:sz w:val="22"/>
          <w:lang w:eastAsia="en-US"/>
        </w:rPr>
        <w:t xml:space="preserve">puissance </w:t>
      </w:r>
      <w:r w:rsidR="00D75684">
        <w:rPr>
          <w:rFonts w:ascii="Calibri" w:eastAsia="Arial" w:hAnsi="Calibri"/>
          <w:sz w:val="22"/>
          <w:lang w:eastAsia="en-US"/>
        </w:rPr>
        <w:t xml:space="preserve">souscrite supérieure à </w:t>
      </w:r>
      <w:r w:rsidR="00E21239">
        <w:rPr>
          <w:rFonts w:ascii="Calibri" w:eastAsia="Arial" w:hAnsi="Calibri"/>
          <w:sz w:val="22"/>
          <w:lang w:eastAsia="en-US"/>
        </w:rPr>
        <w:t xml:space="preserve">250 </w:t>
      </w:r>
      <w:proofErr w:type="gramStart"/>
      <w:r w:rsidR="00E21239">
        <w:rPr>
          <w:rFonts w:ascii="Calibri" w:eastAsia="Arial" w:hAnsi="Calibri"/>
          <w:sz w:val="22"/>
          <w:lang w:eastAsia="en-US"/>
        </w:rPr>
        <w:t>kVa)</w:t>
      </w:r>
      <w:r w:rsidRPr="00422350">
        <w:rPr>
          <w:rFonts w:ascii="Calibri" w:eastAsia="Arial" w:hAnsi="Calibri"/>
          <w:sz w:val="22"/>
          <w:lang w:eastAsia="en-US"/>
        </w:rPr>
        <w:t xml:space="preserve">   </w:t>
      </w:r>
      <w:proofErr w:type="gramEnd"/>
      <w:r w:rsidRPr="00422350">
        <w:rPr>
          <w:rFonts w:ascii="Calibri" w:eastAsia="Arial" w:hAnsi="Calibri"/>
          <w:sz w:val="22"/>
          <w:lang w:eastAsia="en-US"/>
        </w:rPr>
        <w:t xml:space="preserve">                : </w:t>
      </w:r>
      <w:r w:rsidRPr="008C7D9B">
        <w:rPr>
          <w:rFonts w:ascii="Calibri" w:eastAsia="Arial" w:hAnsi="Calibri"/>
          <w:b/>
          <w:sz w:val="22"/>
          <w:lang w:eastAsia="en-US"/>
        </w:rPr>
        <w:t>prix unitaire de 90€</w:t>
      </w:r>
      <w:r w:rsidRPr="00422350">
        <w:rPr>
          <w:rFonts w:ascii="Calibri" w:eastAsia="Arial" w:hAnsi="Calibri"/>
          <w:sz w:val="22"/>
          <w:lang w:eastAsia="en-US"/>
        </w:rPr>
        <w:t xml:space="preserve">     </w:t>
      </w:r>
    </w:p>
    <w:p w:rsidR="00422350" w:rsidRPr="00422350" w:rsidRDefault="00422350" w:rsidP="00422350">
      <w:pPr>
        <w:pStyle w:val="Paragraphedeliste"/>
        <w:rPr>
          <w:rFonts w:ascii="Calibri" w:eastAsia="Arial" w:hAnsi="Calibri"/>
          <w:sz w:val="22"/>
          <w:lang w:eastAsia="en-US"/>
        </w:rPr>
      </w:pPr>
    </w:p>
    <w:p w:rsidR="00422350" w:rsidRPr="008C7D9B" w:rsidRDefault="00422350" w:rsidP="00422350">
      <w:pPr>
        <w:widowControl w:val="0"/>
        <w:overflowPunct/>
        <w:autoSpaceDE/>
        <w:autoSpaceDN/>
        <w:adjustRightInd/>
        <w:spacing w:before="120"/>
        <w:jc w:val="both"/>
        <w:textAlignment w:val="auto"/>
        <w:rPr>
          <w:rFonts w:ascii="Calibri" w:eastAsia="Arial" w:hAnsi="Calibri"/>
          <w:b/>
          <w:color w:val="FF0000"/>
          <w:sz w:val="22"/>
          <w:lang w:eastAsia="en-US"/>
        </w:rPr>
      </w:pPr>
      <w:r w:rsidRPr="008C7D9B">
        <w:rPr>
          <w:rFonts w:ascii="Calibri" w:eastAsia="Arial" w:hAnsi="Calibri"/>
          <w:b/>
          <w:sz w:val="22"/>
          <w:lang w:eastAsia="en-US"/>
        </w:rPr>
        <w:t xml:space="preserve">(Pour rappel, les tarifs </w:t>
      </w:r>
      <w:r w:rsidR="00052F75">
        <w:rPr>
          <w:rFonts w:ascii="Calibri" w:eastAsia="Arial" w:hAnsi="Calibri"/>
          <w:b/>
          <w:sz w:val="22"/>
          <w:lang w:eastAsia="en-US"/>
        </w:rPr>
        <w:t>« </w:t>
      </w:r>
      <w:r w:rsidRPr="008C7D9B">
        <w:rPr>
          <w:rFonts w:ascii="Calibri" w:eastAsia="Arial" w:hAnsi="Calibri"/>
          <w:b/>
          <w:sz w:val="22"/>
          <w:lang w:eastAsia="en-US"/>
        </w:rPr>
        <w:t>bleu</w:t>
      </w:r>
      <w:r w:rsidR="00052F75">
        <w:rPr>
          <w:rFonts w:ascii="Calibri" w:eastAsia="Arial" w:hAnsi="Calibri"/>
          <w:b/>
          <w:sz w:val="22"/>
          <w:lang w:eastAsia="en-US"/>
        </w:rPr>
        <w:t> »</w:t>
      </w:r>
      <w:r w:rsidRPr="008C7D9B">
        <w:rPr>
          <w:rFonts w:ascii="Calibri" w:eastAsia="Arial" w:hAnsi="Calibri"/>
          <w:b/>
          <w:sz w:val="22"/>
          <w:lang w:eastAsia="en-US"/>
        </w:rPr>
        <w:t xml:space="preserve"> &lt; 36kVa ne sont pas concernés par cette consultation. Ces derniers peuvent continuer à bénéficier du TRV après le 31 décembre 2015) </w:t>
      </w:r>
    </w:p>
    <w:p w:rsidR="00422350" w:rsidRDefault="00C63C39" w:rsidP="00C63C39">
      <w:pPr>
        <w:widowControl w:val="0"/>
        <w:overflowPunct/>
        <w:autoSpaceDE/>
        <w:autoSpaceDN/>
        <w:adjustRightInd/>
        <w:spacing w:before="120"/>
        <w:jc w:val="both"/>
        <w:textAlignment w:val="auto"/>
        <w:rPr>
          <w:rFonts w:ascii="Calibri" w:eastAsia="Arial" w:hAnsi="Calibri"/>
          <w:color w:val="FF0000"/>
          <w:sz w:val="22"/>
          <w:lang w:eastAsia="en-US"/>
        </w:rPr>
      </w:pPr>
      <w:r w:rsidRPr="00422350">
        <w:rPr>
          <w:rFonts w:ascii="Calibri" w:eastAsia="Arial" w:hAnsi="Calibri"/>
          <w:color w:val="FF0000"/>
          <w:sz w:val="22"/>
          <w:lang w:eastAsia="en-US"/>
        </w:rPr>
        <w:t xml:space="preserve"> </w:t>
      </w:r>
    </w:p>
    <w:p w:rsidR="00C63C39" w:rsidRPr="00662844" w:rsidRDefault="00C63C39" w:rsidP="00C63C39">
      <w:pPr>
        <w:widowControl w:val="0"/>
        <w:overflowPunct/>
        <w:autoSpaceDE/>
        <w:autoSpaceDN/>
        <w:adjustRightInd/>
        <w:spacing w:before="120"/>
        <w:jc w:val="both"/>
        <w:textAlignment w:val="auto"/>
        <w:rPr>
          <w:rFonts w:ascii="Calibri" w:eastAsia="Arial" w:hAnsi="Calibri"/>
          <w:sz w:val="22"/>
          <w:lang w:eastAsia="en-US"/>
        </w:rPr>
      </w:pPr>
      <w:r w:rsidRPr="00662844">
        <w:rPr>
          <w:rFonts w:ascii="Calibri" w:eastAsia="Arial" w:hAnsi="Calibri"/>
          <w:sz w:val="22"/>
          <w:u w:val="single"/>
          <w:lang w:eastAsia="en-US"/>
        </w:rPr>
        <w:t>7.2 Règlement des factures</w:t>
      </w:r>
      <w:r w:rsidRPr="00662844">
        <w:rPr>
          <w:rFonts w:ascii="Calibri" w:eastAsia="Arial" w:hAnsi="Calibri"/>
          <w:sz w:val="22"/>
          <w:lang w:eastAsia="en-US"/>
        </w:rPr>
        <w:t xml:space="preserve"> : à charge des membres</w:t>
      </w:r>
    </w:p>
    <w:p w:rsidR="00662844" w:rsidRPr="00662844" w:rsidRDefault="00C63C39" w:rsidP="00C63C39">
      <w:pPr>
        <w:widowControl w:val="0"/>
        <w:overflowPunct/>
        <w:autoSpaceDE/>
        <w:autoSpaceDN/>
        <w:adjustRightInd/>
        <w:spacing w:before="240"/>
        <w:jc w:val="both"/>
        <w:textAlignment w:val="auto"/>
        <w:rPr>
          <w:rFonts w:ascii="Calibri" w:eastAsia="Calibri" w:hAnsi="Calibri"/>
          <w:sz w:val="22"/>
          <w:u w:val="single"/>
          <w:lang w:eastAsia="en-US"/>
        </w:rPr>
      </w:pPr>
      <w:r w:rsidRPr="00662844">
        <w:rPr>
          <w:rFonts w:ascii="Calibri" w:eastAsia="Calibri" w:hAnsi="Calibri"/>
          <w:sz w:val="22"/>
          <w:u w:val="single"/>
          <w:lang w:eastAsia="en-US"/>
        </w:rPr>
        <w:t xml:space="preserve">7.3 Frais de justice : </w:t>
      </w:r>
    </w:p>
    <w:p w:rsidR="00C63C39" w:rsidRPr="00610889" w:rsidRDefault="00C63C39" w:rsidP="00C63C39">
      <w:pPr>
        <w:widowControl w:val="0"/>
        <w:overflowPunct/>
        <w:autoSpaceDE/>
        <w:autoSpaceDN/>
        <w:adjustRightInd/>
        <w:spacing w:before="240"/>
        <w:jc w:val="both"/>
        <w:textAlignment w:val="auto"/>
        <w:rPr>
          <w:rFonts w:ascii="Calibri" w:hAnsi="Calibri"/>
          <w:sz w:val="22"/>
        </w:rPr>
      </w:pPr>
      <w:r w:rsidRPr="00610889">
        <w:rPr>
          <w:rFonts w:ascii="Calibri" w:hAnsi="Calibri"/>
          <w:sz w:val="22"/>
        </w:rPr>
        <w:t xml:space="preserve">L’ensemble des membres du groupement porte la responsabilité de la procédure de passation. </w:t>
      </w:r>
    </w:p>
    <w:p w:rsidR="00C63C39" w:rsidRPr="003855AD" w:rsidRDefault="00C63C39" w:rsidP="00C63C39">
      <w:pPr>
        <w:widowControl w:val="0"/>
        <w:overflowPunct/>
        <w:autoSpaceDE/>
        <w:autoSpaceDN/>
        <w:adjustRightInd/>
        <w:spacing w:before="120"/>
        <w:jc w:val="both"/>
        <w:textAlignment w:val="auto"/>
        <w:rPr>
          <w:rFonts w:ascii="Calibri" w:hAnsi="Calibri"/>
          <w:sz w:val="22"/>
        </w:rPr>
      </w:pPr>
      <w:r w:rsidRPr="003855AD">
        <w:rPr>
          <w:rFonts w:ascii="Calibri" w:hAnsi="Calibri"/>
          <w:sz w:val="22"/>
        </w:rPr>
        <w:t xml:space="preserve">En cas de condamnation financière du coordonnateur par une décision devenue définitive d’une juridiction administrative, le coordonnateur divise la charge financière par le nombre de membres pondéré par le poids relatif de chacun d'entre eux dans le marché ou les marchés, accords-cadres et marchés subséquents afférents à la convention. Il effectue l'appel de fonds auprès de chaque membre pour la part qui lui revient. </w:t>
      </w:r>
    </w:p>
    <w:p w:rsidR="00C63C39" w:rsidRPr="00610889" w:rsidRDefault="00C63C39" w:rsidP="00662844">
      <w:pPr>
        <w:widowControl w:val="0"/>
        <w:overflowPunct/>
        <w:autoSpaceDE/>
        <w:autoSpaceDN/>
        <w:adjustRightInd/>
        <w:spacing w:before="240" w:after="120"/>
        <w:textAlignment w:val="auto"/>
        <w:rPr>
          <w:rFonts w:ascii="Calibri" w:eastAsia="Arial" w:hAnsi="Calibri"/>
          <w:sz w:val="22"/>
          <w:lang w:eastAsia="en-US"/>
        </w:rPr>
      </w:pPr>
      <w:r w:rsidRPr="00610889">
        <w:rPr>
          <w:rFonts w:ascii="Calibri" w:eastAsia="Arial" w:hAnsi="Calibri"/>
          <w:b/>
          <w:bCs/>
          <w:sz w:val="22"/>
          <w:lang w:eastAsia="en-US"/>
        </w:rPr>
        <w:t>Article 8. - Durée de la convention</w:t>
      </w:r>
    </w:p>
    <w:p w:rsidR="00C63C39" w:rsidRPr="00610889" w:rsidRDefault="00C63C39" w:rsidP="00C63C39">
      <w:pPr>
        <w:widowControl w:val="0"/>
        <w:overflowPunct/>
        <w:autoSpaceDE/>
        <w:autoSpaceDN/>
        <w:adjustRightInd/>
        <w:contextualSpacing/>
        <w:jc w:val="both"/>
        <w:textAlignment w:val="auto"/>
        <w:rPr>
          <w:rFonts w:ascii="Calibri" w:eastAsia="Arial" w:hAnsi="Calibri"/>
          <w:sz w:val="22"/>
          <w:lang w:eastAsia="en-US"/>
        </w:rPr>
      </w:pPr>
      <w:r w:rsidRPr="00610889">
        <w:rPr>
          <w:rFonts w:ascii="Calibri" w:eastAsia="Arial" w:hAnsi="Calibri"/>
          <w:sz w:val="22"/>
          <w:lang w:eastAsia="en-US"/>
        </w:rPr>
        <w:t>À la suite de la réception par le coordonnateur de toutes les délibérations constitutives des collectivités membres du groupement, il est procédé à la signature de la présente convention par l'ensemble des parties et la date d'effet de la convention est celle de la notification de la convention à tous les membres, à la diligence du coordonnateur.</w:t>
      </w:r>
    </w:p>
    <w:p w:rsidR="00C63C39" w:rsidRPr="00610889" w:rsidRDefault="00C63C39" w:rsidP="00C63C39">
      <w:pPr>
        <w:widowControl w:val="0"/>
        <w:overflowPunct/>
        <w:autoSpaceDE/>
        <w:autoSpaceDN/>
        <w:adjustRightInd/>
        <w:contextualSpacing/>
        <w:jc w:val="both"/>
        <w:textAlignment w:val="auto"/>
        <w:rPr>
          <w:rFonts w:ascii="Calibri" w:eastAsia="Arial" w:hAnsi="Calibri"/>
          <w:sz w:val="22"/>
          <w:lang w:eastAsia="en-US"/>
        </w:rPr>
      </w:pPr>
      <w:r w:rsidRPr="00610889">
        <w:rPr>
          <w:rFonts w:ascii="Calibri" w:eastAsia="Arial" w:hAnsi="Calibri"/>
          <w:sz w:val="22"/>
          <w:lang w:eastAsia="en-US"/>
        </w:rPr>
        <w:t>La convention peut être modifiée par avenant ayant reçu l'accord d'une majorité qualifiée des deux tiers de ses membres.</w:t>
      </w:r>
    </w:p>
    <w:p w:rsidR="00C63C39" w:rsidRPr="00610889" w:rsidRDefault="00C63C39" w:rsidP="00C63C39">
      <w:pPr>
        <w:widowControl w:val="0"/>
        <w:overflowPunct/>
        <w:autoSpaceDE/>
        <w:autoSpaceDN/>
        <w:adjustRightInd/>
        <w:contextualSpacing/>
        <w:jc w:val="both"/>
        <w:textAlignment w:val="auto"/>
        <w:rPr>
          <w:rFonts w:ascii="Calibri" w:eastAsia="Arial" w:hAnsi="Calibri"/>
          <w:sz w:val="22"/>
          <w:lang w:eastAsia="en-US"/>
        </w:rPr>
      </w:pPr>
      <w:r w:rsidRPr="00610889">
        <w:rPr>
          <w:rFonts w:ascii="Calibri" w:eastAsia="Arial" w:hAnsi="Calibri"/>
          <w:sz w:val="22"/>
          <w:lang w:eastAsia="en-US"/>
        </w:rPr>
        <w:t>Le présent groupement est conclu pour une durée allant jusqu'au terme des missions confiées au coordonnateur.</w:t>
      </w:r>
    </w:p>
    <w:p w:rsidR="00C63C39" w:rsidRPr="00610889" w:rsidRDefault="00C63C39" w:rsidP="00662844">
      <w:pPr>
        <w:widowControl w:val="0"/>
        <w:overflowPunct/>
        <w:autoSpaceDE/>
        <w:autoSpaceDN/>
        <w:adjustRightInd/>
        <w:spacing w:before="240" w:after="120"/>
        <w:textAlignment w:val="auto"/>
        <w:rPr>
          <w:rFonts w:ascii="Calibri" w:hAnsi="Calibri"/>
          <w:sz w:val="22"/>
        </w:rPr>
      </w:pPr>
      <w:r w:rsidRPr="00610889">
        <w:rPr>
          <w:rFonts w:ascii="Calibri" w:hAnsi="Calibri"/>
          <w:b/>
          <w:sz w:val="22"/>
        </w:rPr>
        <w:t xml:space="preserve">Article 9.- </w:t>
      </w:r>
      <w:r w:rsidRPr="00662844">
        <w:rPr>
          <w:rFonts w:ascii="Calibri" w:eastAsia="Arial" w:hAnsi="Calibri"/>
          <w:b/>
          <w:bCs/>
          <w:sz w:val="22"/>
          <w:lang w:eastAsia="en-US"/>
        </w:rPr>
        <w:t>Capacité</w:t>
      </w:r>
      <w:r w:rsidRPr="00610889">
        <w:rPr>
          <w:rFonts w:ascii="Calibri" w:hAnsi="Calibri"/>
          <w:b/>
          <w:sz w:val="22"/>
        </w:rPr>
        <w:t xml:space="preserve"> à ester en justice</w:t>
      </w:r>
    </w:p>
    <w:p w:rsidR="00C63C39" w:rsidRPr="00610889" w:rsidRDefault="00C63C39" w:rsidP="00C63C39">
      <w:pPr>
        <w:widowControl w:val="0"/>
        <w:overflowPunct/>
        <w:autoSpaceDE/>
        <w:autoSpaceDN/>
        <w:adjustRightInd/>
        <w:contextualSpacing/>
        <w:jc w:val="both"/>
        <w:textAlignment w:val="auto"/>
        <w:rPr>
          <w:rFonts w:ascii="Calibri" w:hAnsi="Calibri"/>
          <w:sz w:val="22"/>
        </w:rPr>
      </w:pPr>
      <w:r w:rsidRPr="00610889">
        <w:rPr>
          <w:rFonts w:ascii="Calibri" w:hAnsi="Calibri"/>
          <w:sz w:val="22"/>
        </w:rPr>
        <w:t>Le représentant du coordonnateur peut ester en justice au nom et pour le compte des membres du groupement pour les procédures dont il a la charge.</w:t>
      </w:r>
    </w:p>
    <w:p w:rsidR="00662844" w:rsidRDefault="00C63C39" w:rsidP="00C63C39">
      <w:pPr>
        <w:widowControl w:val="0"/>
        <w:overflowPunct/>
        <w:autoSpaceDE/>
        <w:autoSpaceDN/>
        <w:adjustRightInd/>
        <w:contextualSpacing/>
        <w:jc w:val="both"/>
        <w:textAlignment w:val="auto"/>
        <w:rPr>
          <w:rFonts w:ascii="Calibri" w:hAnsi="Calibri"/>
          <w:sz w:val="22"/>
        </w:rPr>
      </w:pPr>
      <w:r w:rsidRPr="00610889">
        <w:rPr>
          <w:rFonts w:ascii="Calibri" w:hAnsi="Calibri"/>
          <w:sz w:val="22"/>
        </w:rPr>
        <w:t xml:space="preserve">Il informe et consulte les membres sur sa démarche et son évolution. </w:t>
      </w:r>
    </w:p>
    <w:p w:rsidR="00B02AA9" w:rsidRDefault="00B02AA9">
      <w:pPr>
        <w:overflowPunct/>
        <w:autoSpaceDE/>
        <w:autoSpaceDN/>
        <w:adjustRightInd/>
        <w:spacing w:after="200" w:line="276" w:lineRule="auto"/>
        <w:textAlignment w:val="auto"/>
        <w:rPr>
          <w:rFonts w:ascii="Calibri" w:hAnsi="Calibri"/>
          <w:sz w:val="22"/>
        </w:rPr>
      </w:pPr>
      <w:r>
        <w:rPr>
          <w:rFonts w:ascii="Calibri" w:hAnsi="Calibri"/>
          <w:sz w:val="22"/>
        </w:rPr>
        <w:br w:type="page"/>
      </w:r>
    </w:p>
    <w:p w:rsidR="00B02AA9" w:rsidRDefault="00B02AA9" w:rsidP="00C63C39">
      <w:pPr>
        <w:widowControl w:val="0"/>
        <w:overflowPunct/>
        <w:autoSpaceDE/>
        <w:autoSpaceDN/>
        <w:adjustRightInd/>
        <w:contextualSpacing/>
        <w:jc w:val="both"/>
        <w:textAlignment w:val="auto"/>
        <w:rPr>
          <w:rFonts w:ascii="Calibri" w:hAnsi="Calibri"/>
          <w:sz w:val="22"/>
        </w:rPr>
      </w:pPr>
    </w:p>
    <w:p w:rsidR="00C63C39" w:rsidRPr="00610889" w:rsidRDefault="00C63C39" w:rsidP="00662844">
      <w:pPr>
        <w:widowControl w:val="0"/>
        <w:overflowPunct/>
        <w:autoSpaceDE/>
        <w:autoSpaceDN/>
        <w:adjustRightInd/>
        <w:spacing w:before="240" w:after="120"/>
        <w:textAlignment w:val="auto"/>
        <w:rPr>
          <w:rFonts w:ascii="Calibri" w:eastAsia="Arial" w:hAnsi="Calibri"/>
          <w:sz w:val="22"/>
          <w:lang w:eastAsia="en-US"/>
        </w:rPr>
      </w:pPr>
      <w:r w:rsidRPr="00610889">
        <w:rPr>
          <w:rFonts w:ascii="Calibri" w:eastAsia="Arial" w:hAnsi="Calibri"/>
          <w:b/>
          <w:bCs/>
          <w:sz w:val="22"/>
          <w:lang w:eastAsia="en-US"/>
        </w:rPr>
        <w:t>Article 10. - Dissolution du groupement</w:t>
      </w:r>
    </w:p>
    <w:p w:rsidR="00C63C39" w:rsidRPr="00610889" w:rsidRDefault="00C63C39" w:rsidP="00C63C39">
      <w:pPr>
        <w:widowControl w:val="0"/>
        <w:overflowPunct/>
        <w:autoSpaceDE/>
        <w:autoSpaceDN/>
        <w:adjustRightInd/>
        <w:contextualSpacing/>
        <w:jc w:val="both"/>
        <w:textAlignment w:val="auto"/>
        <w:rPr>
          <w:rFonts w:ascii="Calibri" w:eastAsia="Arial" w:hAnsi="Calibri"/>
          <w:sz w:val="22"/>
          <w:lang w:eastAsia="en-US"/>
        </w:rPr>
      </w:pPr>
      <w:r w:rsidRPr="00610889">
        <w:rPr>
          <w:rFonts w:ascii="Calibri" w:eastAsia="Arial" w:hAnsi="Calibri"/>
          <w:sz w:val="22"/>
          <w:lang w:eastAsia="en-US"/>
        </w:rPr>
        <w:t>Le groupement est dissout par décision d'une majorité qualifiée des deux tiers de ses membres ; si cette dissolution intervient avant la fin des engagements du coordonnateur, il lui est donné quitus par chaque membre du groupement pour ce qui le concerne, au vu de l'état des diligences du coordonnateur.</w:t>
      </w:r>
    </w:p>
    <w:p w:rsidR="00C63C39" w:rsidRPr="00610889" w:rsidRDefault="00C63C39" w:rsidP="00C63C39">
      <w:pPr>
        <w:widowControl w:val="0"/>
        <w:overflowPunct/>
        <w:autoSpaceDE/>
        <w:autoSpaceDN/>
        <w:adjustRightInd/>
        <w:contextualSpacing/>
        <w:jc w:val="both"/>
        <w:textAlignment w:val="auto"/>
        <w:rPr>
          <w:rFonts w:ascii="Calibri" w:eastAsia="Calibri" w:hAnsi="Calibri"/>
          <w:sz w:val="22"/>
          <w:lang w:eastAsia="en-US"/>
        </w:rPr>
      </w:pPr>
    </w:p>
    <w:p w:rsidR="001629D1" w:rsidRPr="00610889" w:rsidRDefault="001629D1" w:rsidP="001629D1">
      <w:pPr>
        <w:widowControl w:val="0"/>
        <w:overflowPunct/>
        <w:autoSpaceDE/>
        <w:autoSpaceDN/>
        <w:adjustRightInd/>
        <w:contextualSpacing/>
        <w:jc w:val="both"/>
        <w:textAlignment w:val="auto"/>
        <w:rPr>
          <w:rFonts w:ascii="Calibri" w:eastAsia="Calibri" w:hAnsi="Calibri"/>
          <w:sz w:val="22"/>
          <w:lang w:eastAsia="en-US"/>
        </w:rPr>
      </w:pPr>
    </w:p>
    <w:p w:rsidR="001629D1" w:rsidRPr="00610889" w:rsidRDefault="001629D1" w:rsidP="001629D1">
      <w:pPr>
        <w:widowControl w:val="0"/>
        <w:overflowPunct/>
        <w:autoSpaceDE/>
        <w:autoSpaceDN/>
        <w:adjustRightInd/>
        <w:contextualSpacing/>
        <w:jc w:val="both"/>
        <w:textAlignment w:val="auto"/>
        <w:rPr>
          <w:rFonts w:ascii="Calibri" w:eastAsia="Arial" w:hAnsi="Calibri"/>
          <w:sz w:val="22"/>
          <w:lang w:eastAsia="en-US"/>
        </w:rPr>
      </w:pPr>
      <w:r w:rsidRPr="00610889">
        <w:rPr>
          <w:rFonts w:ascii="Calibri" w:eastAsia="Arial" w:hAnsi="Calibri"/>
          <w:sz w:val="22"/>
          <w:lang w:eastAsia="en-US"/>
        </w:rPr>
        <w:t xml:space="preserve">Fait à </w:t>
      </w:r>
      <w:r w:rsidR="00C46CFB">
        <w:rPr>
          <w:rFonts w:ascii="Calibri" w:eastAsia="Arial" w:hAnsi="Calibri"/>
          <w:sz w:val="22"/>
          <w:lang w:eastAsia="en-US"/>
        </w:rPr>
        <w:t>……………………….</w:t>
      </w:r>
      <w:r w:rsidRPr="00610889">
        <w:rPr>
          <w:rFonts w:ascii="Calibri" w:eastAsia="Arial" w:hAnsi="Calibri"/>
          <w:sz w:val="22"/>
          <w:lang w:eastAsia="en-US"/>
        </w:rPr>
        <w:t>....., le ......</w:t>
      </w:r>
      <w:r w:rsidR="00C46CFB">
        <w:rPr>
          <w:rFonts w:ascii="Calibri" w:eastAsia="Arial" w:hAnsi="Calibri"/>
          <w:sz w:val="22"/>
          <w:lang w:eastAsia="en-US"/>
        </w:rPr>
        <w:t>.......................</w:t>
      </w:r>
    </w:p>
    <w:p w:rsidR="001629D1" w:rsidRPr="00610889" w:rsidRDefault="001629D1" w:rsidP="001629D1">
      <w:pPr>
        <w:widowControl w:val="0"/>
        <w:overflowPunct/>
        <w:autoSpaceDE/>
        <w:autoSpaceDN/>
        <w:adjustRightInd/>
        <w:contextualSpacing/>
        <w:jc w:val="both"/>
        <w:textAlignment w:val="auto"/>
        <w:rPr>
          <w:rFonts w:ascii="Calibri" w:eastAsia="Calibri" w:hAnsi="Calibri"/>
          <w:sz w:val="22"/>
          <w:lang w:eastAsia="en-US"/>
        </w:rPr>
      </w:pPr>
    </w:p>
    <w:p w:rsidR="001629D1" w:rsidRPr="00610889" w:rsidRDefault="001629D1" w:rsidP="001629D1">
      <w:pPr>
        <w:widowControl w:val="0"/>
        <w:overflowPunct/>
        <w:autoSpaceDE/>
        <w:autoSpaceDN/>
        <w:adjustRightInd/>
        <w:contextualSpacing/>
        <w:jc w:val="both"/>
        <w:textAlignment w:val="auto"/>
        <w:rPr>
          <w:rFonts w:ascii="Calibri" w:eastAsia="Arial" w:hAnsi="Calibri"/>
          <w:sz w:val="22"/>
          <w:lang w:eastAsia="en-US"/>
        </w:rPr>
      </w:pPr>
    </w:p>
    <w:p w:rsidR="001629D1" w:rsidRPr="00610889" w:rsidRDefault="001629D1" w:rsidP="001629D1">
      <w:pPr>
        <w:widowControl w:val="0"/>
        <w:overflowPunct/>
        <w:autoSpaceDE/>
        <w:autoSpaceDN/>
        <w:adjustRightInd/>
        <w:contextualSpacing/>
        <w:jc w:val="both"/>
        <w:textAlignment w:val="auto"/>
        <w:rPr>
          <w:rFonts w:ascii="Calibri" w:eastAsia="Calibri" w:hAnsi="Calibri"/>
          <w:sz w:val="22"/>
          <w:lang w:eastAsia="en-US"/>
        </w:rPr>
      </w:pPr>
    </w:p>
    <w:p w:rsidR="001629D1" w:rsidRDefault="001629D1" w:rsidP="00117E8C">
      <w:pPr>
        <w:widowControl w:val="0"/>
        <w:overflowPunct/>
        <w:autoSpaceDE/>
        <w:autoSpaceDN/>
        <w:adjustRightInd/>
        <w:ind w:left="5529"/>
        <w:contextualSpacing/>
        <w:jc w:val="both"/>
        <w:textAlignment w:val="auto"/>
        <w:rPr>
          <w:rFonts w:ascii="Calibri" w:eastAsia="Arial" w:hAnsi="Calibri"/>
          <w:sz w:val="22"/>
          <w:lang w:eastAsia="en-US"/>
        </w:rPr>
      </w:pPr>
      <w:r w:rsidRPr="00610889">
        <w:rPr>
          <w:rFonts w:ascii="Calibri" w:eastAsia="Arial" w:hAnsi="Calibri"/>
          <w:sz w:val="22"/>
          <w:lang w:eastAsia="en-US"/>
        </w:rPr>
        <w:t>Le coordonnateur du groupement</w:t>
      </w:r>
      <w:r w:rsidR="00C46CFB">
        <w:rPr>
          <w:rFonts w:ascii="Calibri" w:eastAsia="Arial" w:hAnsi="Calibri"/>
          <w:sz w:val="22"/>
          <w:lang w:eastAsia="en-US"/>
        </w:rPr>
        <w:t>,</w:t>
      </w:r>
    </w:p>
    <w:p w:rsidR="00C46CFB" w:rsidRDefault="00C46CFB" w:rsidP="00117E8C">
      <w:pPr>
        <w:widowControl w:val="0"/>
        <w:overflowPunct/>
        <w:autoSpaceDE/>
        <w:autoSpaceDN/>
        <w:adjustRightInd/>
        <w:ind w:left="5529"/>
        <w:contextualSpacing/>
        <w:jc w:val="both"/>
        <w:textAlignment w:val="auto"/>
        <w:rPr>
          <w:rFonts w:ascii="Calibri" w:eastAsia="Arial" w:hAnsi="Calibri"/>
          <w:sz w:val="22"/>
          <w:lang w:eastAsia="en-US"/>
        </w:rPr>
      </w:pPr>
    </w:p>
    <w:p w:rsidR="00131A8C" w:rsidRDefault="00131A8C" w:rsidP="00131A8C">
      <w:pPr>
        <w:widowControl w:val="0"/>
        <w:overflowPunct/>
        <w:autoSpaceDE/>
        <w:autoSpaceDN/>
        <w:adjustRightInd/>
        <w:ind w:left="4821" w:firstLine="708"/>
        <w:contextualSpacing/>
        <w:jc w:val="both"/>
        <w:textAlignment w:val="auto"/>
        <w:rPr>
          <w:rFonts w:ascii="Calibri" w:eastAsia="Arial" w:hAnsi="Calibri"/>
          <w:sz w:val="22"/>
          <w:lang w:eastAsia="en-US"/>
        </w:rPr>
      </w:pPr>
      <w:r>
        <w:rPr>
          <w:rFonts w:ascii="Calibri" w:eastAsia="Arial" w:hAnsi="Calibri"/>
          <w:sz w:val="22"/>
          <w:lang w:eastAsia="en-US"/>
        </w:rPr>
        <w:t>Le Président</w:t>
      </w:r>
    </w:p>
    <w:p w:rsidR="00C46CFB" w:rsidRDefault="00C46CFB" w:rsidP="00117E8C">
      <w:pPr>
        <w:widowControl w:val="0"/>
        <w:overflowPunct/>
        <w:autoSpaceDE/>
        <w:autoSpaceDN/>
        <w:adjustRightInd/>
        <w:ind w:left="5529"/>
        <w:contextualSpacing/>
        <w:jc w:val="both"/>
        <w:textAlignment w:val="auto"/>
        <w:rPr>
          <w:rFonts w:ascii="Calibri" w:eastAsia="Arial" w:hAnsi="Calibri"/>
          <w:sz w:val="22"/>
          <w:lang w:eastAsia="en-US"/>
        </w:rPr>
      </w:pPr>
      <w:r>
        <w:rPr>
          <w:rFonts w:ascii="Calibri" w:eastAsia="Arial" w:hAnsi="Calibri"/>
          <w:sz w:val="22"/>
          <w:lang w:eastAsia="en-US"/>
        </w:rPr>
        <w:t>Norbert BOUVET</w:t>
      </w:r>
    </w:p>
    <w:p w:rsidR="00E77887" w:rsidRPr="00610889" w:rsidRDefault="00E77887" w:rsidP="00117E8C">
      <w:pPr>
        <w:widowControl w:val="0"/>
        <w:overflowPunct/>
        <w:autoSpaceDE/>
        <w:autoSpaceDN/>
        <w:adjustRightInd/>
        <w:ind w:left="5529"/>
        <w:contextualSpacing/>
        <w:jc w:val="both"/>
        <w:textAlignment w:val="auto"/>
        <w:rPr>
          <w:rFonts w:ascii="Calibri" w:eastAsia="Arial" w:hAnsi="Calibri"/>
          <w:sz w:val="22"/>
          <w:lang w:eastAsia="en-US"/>
        </w:rPr>
      </w:pPr>
    </w:p>
    <w:p w:rsidR="001629D1" w:rsidRDefault="001629D1" w:rsidP="00117E8C">
      <w:pPr>
        <w:widowControl w:val="0"/>
        <w:overflowPunct/>
        <w:autoSpaceDE/>
        <w:autoSpaceDN/>
        <w:adjustRightInd/>
        <w:contextualSpacing/>
        <w:textAlignment w:val="auto"/>
        <w:rPr>
          <w:rFonts w:ascii="Calibri" w:eastAsia="Arial" w:hAnsi="Calibri"/>
          <w:sz w:val="22"/>
          <w:lang w:eastAsia="en-US"/>
        </w:rPr>
      </w:pPr>
      <w:r w:rsidRPr="00610889">
        <w:rPr>
          <w:rFonts w:ascii="Calibri" w:eastAsia="Arial" w:hAnsi="Calibri"/>
          <w:sz w:val="22"/>
          <w:lang w:eastAsia="en-US"/>
        </w:rPr>
        <w:t>Les membres du groupement</w:t>
      </w:r>
    </w:p>
    <w:sectPr w:rsidR="001629D1" w:rsidSect="008D5BF9">
      <w:headerReference w:type="default" r:id="rId9"/>
      <w:footerReference w:type="default" r:id="rId10"/>
      <w:headerReference w:type="first" r:id="rId11"/>
      <w:pgSz w:w="11906" w:h="16838"/>
      <w:pgMar w:top="1560" w:right="1274"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F9" w:rsidRDefault="008D5BF9" w:rsidP="00C46CFB">
      <w:r>
        <w:separator/>
      </w:r>
    </w:p>
  </w:endnote>
  <w:endnote w:type="continuationSeparator" w:id="0">
    <w:p w:rsidR="008D5BF9" w:rsidRDefault="008D5BF9" w:rsidP="00C4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BF9" w:rsidRDefault="008D5BF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EA66874" wp14:editId="4101E45C">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5BF9" w:rsidRPr="00C46CFB" w:rsidRDefault="008D5BF9">
                          <w:pPr>
                            <w:jc w:val="center"/>
                            <w:rPr>
                              <w:rFonts w:ascii="Calibri" w:hAnsi="Calibri" w:cs="Calibri"/>
                              <w:color w:val="0F243E" w:themeColor="text2" w:themeShade="80"/>
                              <w:szCs w:val="26"/>
                            </w:rPr>
                          </w:pPr>
                          <w:r w:rsidRPr="00C46CFB">
                            <w:rPr>
                              <w:rFonts w:ascii="Calibri" w:hAnsi="Calibri" w:cs="Calibri"/>
                              <w:color w:val="0F243E" w:themeColor="text2" w:themeShade="80"/>
                              <w:szCs w:val="26"/>
                            </w:rPr>
                            <w:fldChar w:fldCharType="begin"/>
                          </w:r>
                          <w:r w:rsidRPr="00C46CFB">
                            <w:rPr>
                              <w:rFonts w:ascii="Calibri" w:hAnsi="Calibri" w:cs="Calibri"/>
                              <w:color w:val="0F243E" w:themeColor="text2" w:themeShade="80"/>
                              <w:szCs w:val="26"/>
                            </w:rPr>
                            <w:instrText>PAGE  \* Arabic  \* MERGEFORMAT</w:instrText>
                          </w:r>
                          <w:r w:rsidRPr="00C46CFB">
                            <w:rPr>
                              <w:rFonts w:ascii="Calibri" w:hAnsi="Calibri" w:cs="Calibri"/>
                              <w:color w:val="0F243E" w:themeColor="text2" w:themeShade="80"/>
                              <w:szCs w:val="26"/>
                            </w:rPr>
                            <w:fldChar w:fldCharType="separate"/>
                          </w:r>
                          <w:r w:rsidR="00B02AA9">
                            <w:rPr>
                              <w:rFonts w:ascii="Calibri" w:hAnsi="Calibri" w:cs="Calibri"/>
                              <w:noProof/>
                              <w:color w:val="0F243E" w:themeColor="text2" w:themeShade="80"/>
                              <w:szCs w:val="26"/>
                            </w:rPr>
                            <w:t>5</w:t>
                          </w:r>
                          <w:r w:rsidRPr="00C46CFB">
                            <w:rPr>
                              <w:rFonts w:ascii="Calibri" w:hAnsi="Calibri" w:cs="Calibri"/>
                              <w:color w:val="0F243E"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EA66874" id="_x0000_t202" coordsize="21600,21600" o:spt="202" path="m,l,21600r21600,l21600,xe">
              <v:stroke joinstyle="miter"/>
              <v:path gradientshapeok="t" o:connecttype="rect"/>
            </v:shapetype>
            <v:shape id="Zone de text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8D5BF9" w:rsidRPr="00C46CFB" w:rsidRDefault="008D5BF9">
                    <w:pPr>
                      <w:jc w:val="center"/>
                      <w:rPr>
                        <w:rFonts w:ascii="Calibri" w:hAnsi="Calibri" w:cs="Calibri"/>
                        <w:color w:val="0F243E" w:themeColor="text2" w:themeShade="80"/>
                        <w:szCs w:val="26"/>
                      </w:rPr>
                    </w:pPr>
                    <w:r w:rsidRPr="00C46CFB">
                      <w:rPr>
                        <w:rFonts w:ascii="Calibri" w:hAnsi="Calibri" w:cs="Calibri"/>
                        <w:color w:val="0F243E" w:themeColor="text2" w:themeShade="80"/>
                        <w:szCs w:val="26"/>
                      </w:rPr>
                      <w:fldChar w:fldCharType="begin"/>
                    </w:r>
                    <w:r w:rsidRPr="00C46CFB">
                      <w:rPr>
                        <w:rFonts w:ascii="Calibri" w:hAnsi="Calibri" w:cs="Calibri"/>
                        <w:color w:val="0F243E" w:themeColor="text2" w:themeShade="80"/>
                        <w:szCs w:val="26"/>
                      </w:rPr>
                      <w:instrText>PAGE  \* Arabic  \* MERGEFORMAT</w:instrText>
                    </w:r>
                    <w:r w:rsidRPr="00C46CFB">
                      <w:rPr>
                        <w:rFonts w:ascii="Calibri" w:hAnsi="Calibri" w:cs="Calibri"/>
                        <w:color w:val="0F243E" w:themeColor="text2" w:themeShade="80"/>
                        <w:szCs w:val="26"/>
                      </w:rPr>
                      <w:fldChar w:fldCharType="separate"/>
                    </w:r>
                    <w:r w:rsidR="00B02AA9">
                      <w:rPr>
                        <w:rFonts w:ascii="Calibri" w:hAnsi="Calibri" w:cs="Calibri"/>
                        <w:noProof/>
                        <w:color w:val="0F243E" w:themeColor="text2" w:themeShade="80"/>
                        <w:szCs w:val="26"/>
                      </w:rPr>
                      <w:t>5</w:t>
                    </w:r>
                    <w:r w:rsidRPr="00C46CFB">
                      <w:rPr>
                        <w:rFonts w:ascii="Calibri" w:hAnsi="Calibri" w:cs="Calibri"/>
                        <w:color w:val="0F243E" w:themeColor="text2" w:themeShade="80"/>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F9" w:rsidRDefault="008D5BF9" w:rsidP="00C46CFB">
      <w:r>
        <w:separator/>
      </w:r>
    </w:p>
  </w:footnote>
  <w:footnote w:type="continuationSeparator" w:id="0">
    <w:p w:rsidR="008D5BF9" w:rsidRDefault="008D5BF9" w:rsidP="00C4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BF9" w:rsidRDefault="008D5BF9" w:rsidP="008B5022">
    <w:pPr>
      <w:pStyle w:val="En-tte"/>
      <w:ind w:left="-709"/>
    </w:pPr>
  </w:p>
  <w:p w:rsidR="008D5BF9" w:rsidRDefault="008D5BF9" w:rsidP="008B5022">
    <w:pPr>
      <w:pStyle w:val="En-tte"/>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BF9" w:rsidRDefault="008D5BF9">
    <w:pPr>
      <w:pStyle w:val="En-tte"/>
    </w:pPr>
    <w:r>
      <w:rPr>
        <w:noProof/>
      </w:rPr>
      <w:drawing>
        <wp:inline distT="0" distB="0" distL="0" distR="0" wp14:anchorId="00A27C6F" wp14:editId="748C6E16">
          <wp:extent cx="16954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23900"/>
                  </a:xfrm>
                  <a:prstGeom prst="rect">
                    <a:avLst/>
                  </a:prstGeom>
                  <a:noFill/>
                  <a:ln>
                    <a:noFill/>
                  </a:ln>
                </pic:spPr>
              </pic:pic>
            </a:graphicData>
          </a:graphic>
        </wp:inline>
      </w:drawing>
    </w:r>
  </w:p>
  <w:p w:rsidR="008D5BF9" w:rsidRDefault="008D5B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7B1"/>
    <w:multiLevelType w:val="hybridMultilevel"/>
    <w:tmpl w:val="26E0CA78"/>
    <w:lvl w:ilvl="0" w:tplc="4B48849E">
      <w:numFmt w:val="bullet"/>
      <w:lvlText w:val="-"/>
      <w:lvlJc w:val="left"/>
      <w:pPr>
        <w:ind w:left="-240" w:hanging="360"/>
      </w:pPr>
      <w:rPr>
        <w:rFonts w:ascii="Calibri" w:eastAsia="Arial" w:hAnsi="Calibri" w:cs="Times New Roman" w:hint="default"/>
      </w:rPr>
    </w:lvl>
    <w:lvl w:ilvl="1" w:tplc="040C0003" w:tentative="1">
      <w:start w:val="1"/>
      <w:numFmt w:val="bullet"/>
      <w:lvlText w:val="o"/>
      <w:lvlJc w:val="left"/>
      <w:pPr>
        <w:ind w:left="480" w:hanging="360"/>
      </w:pPr>
      <w:rPr>
        <w:rFonts w:ascii="Courier New" w:hAnsi="Courier New" w:cs="Courier New" w:hint="default"/>
      </w:rPr>
    </w:lvl>
    <w:lvl w:ilvl="2" w:tplc="040C0005" w:tentative="1">
      <w:start w:val="1"/>
      <w:numFmt w:val="bullet"/>
      <w:lvlText w:val=""/>
      <w:lvlJc w:val="left"/>
      <w:pPr>
        <w:ind w:left="1200" w:hanging="360"/>
      </w:pPr>
      <w:rPr>
        <w:rFonts w:ascii="Wingdings" w:hAnsi="Wingdings" w:hint="default"/>
      </w:rPr>
    </w:lvl>
    <w:lvl w:ilvl="3" w:tplc="040C0001" w:tentative="1">
      <w:start w:val="1"/>
      <w:numFmt w:val="bullet"/>
      <w:lvlText w:val=""/>
      <w:lvlJc w:val="left"/>
      <w:pPr>
        <w:ind w:left="1920" w:hanging="360"/>
      </w:pPr>
      <w:rPr>
        <w:rFonts w:ascii="Symbol" w:hAnsi="Symbol" w:hint="default"/>
      </w:rPr>
    </w:lvl>
    <w:lvl w:ilvl="4" w:tplc="040C0003" w:tentative="1">
      <w:start w:val="1"/>
      <w:numFmt w:val="bullet"/>
      <w:lvlText w:val="o"/>
      <w:lvlJc w:val="left"/>
      <w:pPr>
        <w:ind w:left="2640" w:hanging="360"/>
      </w:pPr>
      <w:rPr>
        <w:rFonts w:ascii="Courier New" w:hAnsi="Courier New" w:cs="Courier New" w:hint="default"/>
      </w:rPr>
    </w:lvl>
    <w:lvl w:ilvl="5" w:tplc="040C0005" w:tentative="1">
      <w:start w:val="1"/>
      <w:numFmt w:val="bullet"/>
      <w:lvlText w:val=""/>
      <w:lvlJc w:val="left"/>
      <w:pPr>
        <w:ind w:left="3360" w:hanging="360"/>
      </w:pPr>
      <w:rPr>
        <w:rFonts w:ascii="Wingdings" w:hAnsi="Wingdings" w:hint="default"/>
      </w:rPr>
    </w:lvl>
    <w:lvl w:ilvl="6" w:tplc="040C0001" w:tentative="1">
      <w:start w:val="1"/>
      <w:numFmt w:val="bullet"/>
      <w:lvlText w:val=""/>
      <w:lvlJc w:val="left"/>
      <w:pPr>
        <w:ind w:left="4080" w:hanging="360"/>
      </w:pPr>
      <w:rPr>
        <w:rFonts w:ascii="Symbol" w:hAnsi="Symbol" w:hint="default"/>
      </w:rPr>
    </w:lvl>
    <w:lvl w:ilvl="7" w:tplc="040C0003" w:tentative="1">
      <w:start w:val="1"/>
      <w:numFmt w:val="bullet"/>
      <w:lvlText w:val="o"/>
      <w:lvlJc w:val="left"/>
      <w:pPr>
        <w:ind w:left="4800" w:hanging="360"/>
      </w:pPr>
      <w:rPr>
        <w:rFonts w:ascii="Courier New" w:hAnsi="Courier New" w:cs="Courier New" w:hint="default"/>
      </w:rPr>
    </w:lvl>
    <w:lvl w:ilvl="8" w:tplc="040C0005" w:tentative="1">
      <w:start w:val="1"/>
      <w:numFmt w:val="bullet"/>
      <w:lvlText w:val=""/>
      <w:lvlJc w:val="left"/>
      <w:pPr>
        <w:ind w:left="5520" w:hanging="360"/>
      </w:pPr>
      <w:rPr>
        <w:rFonts w:ascii="Wingdings" w:hAnsi="Wingdings" w:hint="default"/>
      </w:rPr>
    </w:lvl>
  </w:abstractNum>
  <w:abstractNum w:abstractNumId="1" w15:restartNumberingAfterBreak="0">
    <w:nsid w:val="6EAB7721"/>
    <w:multiLevelType w:val="hybridMultilevel"/>
    <w:tmpl w:val="0C8EFD30"/>
    <w:lvl w:ilvl="0" w:tplc="4B48849E">
      <w:numFmt w:val="bullet"/>
      <w:lvlText w:val="-"/>
      <w:lvlJc w:val="left"/>
      <w:pPr>
        <w:ind w:left="-24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1C4DE2"/>
    <w:multiLevelType w:val="hybridMultilevel"/>
    <w:tmpl w:val="0FDA62C2"/>
    <w:lvl w:ilvl="0" w:tplc="0422C5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D1"/>
    <w:rsid w:val="00052F75"/>
    <w:rsid w:val="00076A17"/>
    <w:rsid w:val="000C7BF3"/>
    <w:rsid w:val="00117E8C"/>
    <w:rsid w:val="00131A8C"/>
    <w:rsid w:val="001629D1"/>
    <w:rsid w:val="001A5039"/>
    <w:rsid w:val="001B28FA"/>
    <w:rsid w:val="001E7AD6"/>
    <w:rsid w:val="00316093"/>
    <w:rsid w:val="004074E0"/>
    <w:rsid w:val="00417419"/>
    <w:rsid w:val="00422350"/>
    <w:rsid w:val="00584BA8"/>
    <w:rsid w:val="005F2B47"/>
    <w:rsid w:val="00662844"/>
    <w:rsid w:val="00697FD1"/>
    <w:rsid w:val="006D510C"/>
    <w:rsid w:val="006F23B6"/>
    <w:rsid w:val="00854DEB"/>
    <w:rsid w:val="008B3B9D"/>
    <w:rsid w:val="008B5022"/>
    <w:rsid w:val="008C7D9B"/>
    <w:rsid w:val="008D5BF9"/>
    <w:rsid w:val="009B74B5"/>
    <w:rsid w:val="00B02AA9"/>
    <w:rsid w:val="00B625A6"/>
    <w:rsid w:val="00B701D1"/>
    <w:rsid w:val="00B84AE4"/>
    <w:rsid w:val="00B900ED"/>
    <w:rsid w:val="00C12000"/>
    <w:rsid w:val="00C46CFB"/>
    <w:rsid w:val="00C63C39"/>
    <w:rsid w:val="00C8729D"/>
    <w:rsid w:val="00CA4EA8"/>
    <w:rsid w:val="00CA6DC9"/>
    <w:rsid w:val="00D60669"/>
    <w:rsid w:val="00D75684"/>
    <w:rsid w:val="00D865F5"/>
    <w:rsid w:val="00DA3D48"/>
    <w:rsid w:val="00DC7335"/>
    <w:rsid w:val="00E21239"/>
    <w:rsid w:val="00E77887"/>
    <w:rsid w:val="00EA76E9"/>
    <w:rsid w:val="00EB6711"/>
    <w:rsid w:val="00EE2FA9"/>
    <w:rsid w:val="00FE4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C5771A"/>
  <w15:docId w15:val="{1E6F2647-E38E-41B1-BE5B-044A1CC6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9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2000"/>
    <w:pPr>
      <w:ind w:left="720"/>
      <w:contextualSpacing/>
    </w:pPr>
  </w:style>
  <w:style w:type="paragraph" w:styleId="Textedebulles">
    <w:name w:val="Balloon Text"/>
    <w:basedOn w:val="Normal"/>
    <w:link w:val="TextedebullesCar"/>
    <w:uiPriority w:val="99"/>
    <w:semiHidden/>
    <w:unhideWhenUsed/>
    <w:rsid w:val="00B900ED"/>
    <w:rPr>
      <w:rFonts w:ascii="Tahoma" w:hAnsi="Tahoma" w:cs="Tahoma"/>
      <w:sz w:val="16"/>
      <w:szCs w:val="16"/>
    </w:rPr>
  </w:style>
  <w:style w:type="character" w:customStyle="1" w:styleId="TextedebullesCar">
    <w:name w:val="Texte de bulles Car"/>
    <w:basedOn w:val="Policepardfaut"/>
    <w:link w:val="Textedebulles"/>
    <w:uiPriority w:val="99"/>
    <w:semiHidden/>
    <w:rsid w:val="00B900ED"/>
    <w:rPr>
      <w:rFonts w:ascii="Tahoma" w:eastAsia="Times New Roman" w:hAnsi="Tahoma" w:cs="Tahoma"/>
      <w:sz w:val="16"/>
      <w:szCs w:val="16"/>
      <w:lang w:eastAsia="fr-FR"/>
    </w:rPr>
  </w:style>
  <w:style w:type="paragraph" w:styleId="En-tte">
    <w:name w:val="header"/>
    <w:basedOn w:val="Normal"/>
    <w:link w:val="En-tteCar"/>
    <w:uiPriority w:val="99"/>
    <w:unhideWhenUsed/>
    <w:rsid w:val="00C46CFB"/>
    <w:pPr>
      <w:tabs>
        <w:tab w:val="center" w:pos="4536"/>
        <w:tab w:val="right" w:pos="9072"/>
      </w:tabs>
    </w:pPr>
  </w:style>
  <w:style w:type="character" w:customStyle="1" w:styleId="En-tteCar">
    <w:name w:val="En-tête Car"/>
    <w:basedOn w:val="Policepardfaut"/>
    <w:link w:val="En-tte"/>
    <w:uiPriority w:val="99"/>
    <w:rsid w:val="00C46CF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46CFB"/>
    <w:pPr>
      <w:tabs>
        <w:tab w:val="center" w:pos="4536"/>
        <w:tab w:val="right" w:pos="9072"/>
      </w:tabs>
    </w:pPr>
  </w:style>
  <w:style w:type="character" w:customStyle="1" w:styleId="PieddepageCar">
    <w:name w:val="Pied de page Car"/>
    <w:basedOn w:val="Policepardfaut"/>
    <w:link w:val="Pieddepage"/>
    <w:uiPriority w:val="99"/>
    <w:rsid w:val="00C46CF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73464">
      <w:bodyDiv w:val="1"/>
      <w:marLeft w:val="0"/>
      <w:marRight w:val="0"/>
      <w:marTop w:val="0"/>
      <w:marBottom w:val="0"/>
      <w:divBdr>
        <w:top w:val="none" w:sz="0" w:space="0" w:color="auto"/>
        <w:left w:val="none" w:sz="0" w:space="0" w:color="auto"/>
        <w:bottom w:val="none" w:sz="0" w:space="0" w:color="auto"/>
        <w:right w:val="none" w:sz="0" w:space="0" w:color="auto"/>
      </w:divBdr>
      <w:divsChild>
        <w:div w:id="192571666">
          <w:marLeft w:val="0"/>
          <w:marRight w:val="0"/>
          <w:marTop w:val="0"/>
          <w:marBottom w:val="0"/>
          <w:divBdr>
            <w:top w:val="none" w:sz="0" w:space="0" w:color="auto"/>
            <w:left w:val="none" w:sz="0" w:space="0" w:color="auto"/>
            <w:bottom w:val="none" w:sz="0" w:space="0" w:color="auto"/>
            <w:right w:val="none" w:sz="0" w:space="0" w:color="auto"/>
          </w:divBdr>
          <w:divsChild>
            <w:div w:id="291252340">
              <w:marLeft w:val="0"/>
              <w:marRight w:val="0"/>
              <w:marTop w:val="0"/>
              <w:marBottom w:val="0"/>
              <w:divBdr>
                <w:top w:val="none" w:sz="0" w:space="0" w:color="auto"/>
                <w:left w:val="none" w:sz="0" w:space="0" w:color="auto"/>
                <w:bottom w:val="none" w:sz="0" w:space="0" w:color="auto"/>
                <w:right w:val="none" w:sz="0" w:space="0" w:color="auto"/>
              </w:divBdr>
              <w:divsChild>
                <w:div w:id="1231503902">
                  <w:marLeft w:val="0"/>
                  <w:marRight w:val="0"/>
                  <w:marTop w:val="0"/>
                  <w:marBottom w:val="0"/>
                  <w:divBdr>
                    <w:top w:val="none" w:sz="0" w:space="0" w:color="auto"/>
                    <w:left w:val="none" w:sz="0" w:space="0" w:color="auto"/>
                    <w:bottom w:val="none" w:sz="0" w:space="0" w:color="auto"/>
                    <w:right w:val="none" w:sz="0" w:space="0" w:color="auto"/>
                  </w:divBdr>
                  <w:divsChild>
                    <w:div w:id="1076704558">
                      <w:marLeft w:val="0"/>
                      <w:marRight w:val="0"/>
                      <w:marTop w:val="45"/>
                      <w:marBottom w:val="0"/>
                      <w:divBdr>
                        <w:top w:val="none" w:sz="0" w:space="0" w:color="auto"/>
                        <w:left w:val="none" w:sz="0" w:space="0" w:color="auto"/>
                        <w:bottom w:val="none" w:sz="0" w:space="0" w:color="auto"/>
                        <w:right w:val="none" w:sz="0" w:space="0" w:color="auto"/>
                      </w:divBdr>
                      <w:divsChild>
                        <w:div w:id="140271864">
                          <w:marLeft w:val="0"/>
                          <w:marRight w:val="0"/>
                          <w:marTop w:val="0"/>
                          <w:marBottom w:val="0"/>
                          <w:divBdr>
                            <w:top w:val="none" w:sz="0" w:space="0" w:color="auto"/>
                            <w:left w:val="none" w:sz="0" w:space="0" w:color="auto"/>
                            <w:bottom w:val="none" w:sz="0" w:space="0" w:color="auto"/>
                            <w:right w:val="none" w:sz="0" w:space="0" w:color="auto"/>
                          </w:divBdr>
                          <w:divsChild>
                            <w:div w:id="1896431747">
                              <w:marLeft w:val="2070"/>
                              <w:marRight w:val="3960"/>
                              <w:marTop w:val="0"/>
                              <w:marBottom w:val="0"/>
                              <w:divBdr>
                                <w:top w:val="none" w:sz="0" w:space="0" w:color="auto"/>
                                <w:left w:val="none" w:sz="0" w:space="0" w:color="auto"/>
                                <w:bottom w:val="none" w:sz="0" w:space="0" w:color="auto"/>
                                <w:right w:val="none" w:sz="0" w:space="0" w:color="auto"/>
                              </w:divBdr>
                              <w:divsChild>
                                <w:div w:id="1153915633">
                                  <w:marLeft w:val="0"/>
                                  <w:marRight w:val="0"/>
                                  <w:marTop w:val="0"/>
                                  <w:marBottom w:val="0"/>
                                  <w:divBdr>
                                    <w:top w:val="none" w:sz="0" w:space="0" w:color="auto"/>
                                    <w:left w:val="none" w:sz="0" w:space="0" w:color="auto"/>
                                    <w:bottom w:val="none" w:sz="0" w:space="0" w:color="auto"/>
                                    <w:right w:val="none" w:sz="0" w:space="0" w:color="auto"/>
                                  </w:divBdr>
                                  <w:divsChild>
                                    <w:div w:id="145754104">
                                      <w:marLeft w:val="0"/>
                                      <w:marRight w:val="0"/>
                                      <w:marTop w:val="0"/>
                                      <w:marBottom w:val="0"/>
                                      <w:divBdr>
                                        <w:top w:val="none" w:sz="0" w:space="0" w:color="auto"/>
                                        <w:left w:val="none" w:sz="0" w:space="0" w:color="auto"/>
                                        <w:bottom w:val="none" w:sz="0" w:space="0" w:color="auto"/>
                                        <w:right w:val="none" w:sz="0" w:space="0" w:color="auto"/>
                                      </w:divBdr>
                                      <w:divsChild>
                                        <w:div w:id="209733100">
                                          <w:marLeft w:val="0"/>
                                          <w:marRight w:val="0"/>
                                          <w:marTop w:val="0"/>
                                          <w:marBottom w:val="0"/>
                                          <w:divBdr>
                                            <w:top w:val="none" w:sz="0" w:space="0" w:color="auto"/>
                                            <w:left w:val="none" w:sz="0" w:space="0" w:color="auto"/>
                                            <w:bottom w:val="none" w:sz="0" w:space="0" w:color="auto"/>
                                            <w:right w:val="none" w:sz="0" w:space="0" w:color="auto"/>
                                          </w:divBdr>
                                          <w:divsChild>
                                            <w:div w:id="2031370795">
                                              <w:marLeft w:val="0"/>
                                              <w:marRight w:val="0"/>
                                              <w:marTop w:val="90"/>
                                              <w:marBottom w:val="0"/>
                                              <w:divBdr>
                                                <w:top w:val="none" w:sz="0" w:space="0" w:color="auto"/>
                                                <w:left w:val="none" w:sz="0" w:space="0" w:color="auto"/>
                                                <w:bottom w:val="none" w:sz="0" w:space="0" w:color="auto"/>
                                                <w:right w:val="none" w:sz="0" w:space="0" w:color="auto"/>
                                              </w:divBdr>
                                              <w:divsChild>
                                                <w:div w:id="1357806921">
                                                  <w:marLeft w:val="0"/>
                                                  <w:marRight w:val="0"/>
                                                  <w:marTop w:val="0"/>
                                                  <w:marBottom w:val="0"/>
                                                  <w:divBdr>
                                                    <w:top w:val="none" w:sz="0" w:space="0" w:color="auto"/>
                                                    <w:left w:val="none" w:sz="0" w:space="0" w:color="auto"/>
                                                    <w:bottom w:val="none" w:sz="0" w:space="0" w:color="auto"/>
                                                    <w:right w:val="none" w:sz="0" w:space="0" w:color="auto"/>
                                                  </w:divBdr>
                                                  <w:divsChild>
                                                    <w:div w:id="1609696642">
                                                      <w:marLeft w:val="0"/>
                                                      <w:marRight w:val="0"/>
                                                      <w:marTop w:val="0"/>
                                                      <w:marBottom w:val="0"/>
                                                      <w:divBdr>
                                                        <w:top w:val="none" w:sz="0" w:space="0" w:color="auto"/>
                                                        <w:left w:val="none" w:sz="0" w:space="0" w:color="auto"/>
                                                        <w:bottom w:val="none" w:sz="0" w:space="0" w:color="auto"/>
                                                        <w:right w:val="none" w:sz="0" w:space="0" w:color="auto"/>
                                                      </w:divBdr>
                                                      <w:divsChild>
                                                        <w:div w:id="1400246439">
                                                          <w:marLeft w:val="0"/>
                                                          <w:marRight w:val="0"/>
                                                          <w:marTop w:val="0"/>
                                                          <w:marBottom w:val="390"/>
                                                          <w:divBdr>
                                                            <w:top w:val="none" w:sz="0" w:space="0" w:color="auto"/>
                                                            <w:left w:val="none" w:sz="0" w:space="0" w:color="auto"/>
                                                            <w:bottom w:val="none" w:sz="0" w:space="0" w:color="auto"/>
                                                            <w:right w:val="none" w:sz="0" w:space="0" w:color="auto"/>
                                                          </w:divBdr>
                                                          <w:divsChild>
                                                            <w:div w:id="217131507">
                                                              <w:marLeft w:val="0"/>
                                                              <w:marRight w:val="0"/>
                                                              <w:marTop w:val="0"/>
                                                              <w:marBottom w:val="0"/>
                                                              <w:divBdr>
                                                                <w:top w:val="none" w:sz="0" w:space="0" w:color="auto"/>
                                                                <w:left w:val="none" w:sz="0" w:space="0" w:color="auto"/>
                                                                <w:bottom w:val="none" w:sz="0" w:space="0" w:color="auto"/>
                                                                <w:right w:val="none" w:sz="0" w:space="0" w:color="auto"/>
                                                              </w:divBdr>
                                                              <w:divsChild>
                                                                <w:div w:id="1249655469">
                                                                  <w:marLeft w:val="0"/>
                                                                  <w:marRight w:val="0"/>
                                                                  <w:marTop w:val="0"/>
                                                                  <w:marBottom w:val="0"/>
                                                                  <w:divBdr>
                                                                    <w:top w:val="none" w:sz="0" w:space="0" w:color="auto"/>
                                                                    <w:left w:val="none" w:sz="0" w:space="0" w:color="auto"/>
                                                                    <w:bottom w:val="none" w:sz="0" w:space="0" w:color="auto"/>
                                                                    <w:right w:val="none" w:sz="0" w:space="0" w:color="auto"/>
                                                                  </w:divBdr>
                                                                  <w:divsChild>
                                                                    <w:div w:id="1117062693">
                                                                      <w:marLeft w:val="0"/>
                                                                      <w:marRight w:val="0"/>
                                                                      <w:marTop w:val="0"/>
                                                                      <w:marBottom w:val="0"/>
                                                                      <w:divBdr>
                                                                        <w:top w:val="none" w:sz="0" w:space="0" w:color="auto"/>
                                                                        <w:left w:val="none" w:sz="0" w:space="0" w:color="auto"/>
                                                                        <w:bottom w:val="none" w:sz="0" w:space="0" w:color="auto"/>
                                                                        <w:right w:val="none" w:sz="0" w:space="0" w:color="auto"/>
                                                                      </w:divBdr>
                                                                      <w:divsChild>
                                                                        <w:div w:id="788934094">
                                                                          <w:marLeft w:val="0"/>
                                                                          <w:marRight w:val="0"/>
                                                                          <w:marTop w:val="0"/>
                                                                          <w:marBottom w:val="0"/>
                                                                          <w:divBdr>
                                                                            <w:top w:val="none" w:sz="0" w:space="0" w:color="auto"/>
                                                                            <w:left w:val="none" w:sz="0" w:space="0" w:color="auto"/>
                                                                            <w:bottom w:val="none" w:sz="0" w:space="0" w:color="auto"/>
                                                                            <w:right w:val="none" w:sz="0" w:space="0" w:color="auto"/>
                                                                          </w:divBdr>
                                                                          <w:divsChild>
                                                                            <w:div w:id="1749692824">
                                                                              <w:marLeft w:val="0"/>
                                                                              <w:marRight w:val="0"/>
                                                                              <w:marTop w:val="0"/>
                                                                              <w:marBottom w:val="0"/>
                                                                              <w:divBdr>
                                                                                <w:top w:val="none" w:sz="0" w:space="0" w:color="auto"/>
                                                                                <w:left w:val="none" w:sz="0" w:space="0" w:color="auto"/>
                                                                                <w:bottom w:val="none" w:sz="0" w:space="0" w:color="auto"/>
                                                                                <w:right w:val="none" w:sz="0" w:space="0" w:color="auto"/>
                                                                              </w:divBdr>
                                                                              <w:divsChild>
                                                                                <w:div w:id="5564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F863E-ED6F-4C83-A367-D0BA086B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1774</Words>
  <Characters>9762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Chauvel</dc:creator>
  <cp:lastModifiedBy>TE53 reunion 14/02</cp:lastModifiedBy>
  <cp:revision>24</cp:revision>
  <cp:lastPrinted>2014-10-13T12:29:00Z</cp:lastPrinted>
  <dcterms:created xsi:type="dcterms:W3CDTF">2014-09-15T12:30:00Z</dcterms:created>
  <dcterms:modified xsi:type="dcterms:W3CDTF">2018-03-26T11:58:00Z</dcterms:modified>
</cp:coreProperties>
</file>